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8B538" w14:textId="77777777" w:rsidR="002B1EC4" w:rsidRPr="00F57130" w:rsidRDefault="00BD55E1" w:rsidP="00F57130">
      <w:pPr>
        <w:widowControl w:val="0"/>
        <w:spacing w:after="200" w:line="276" w:lineRule="auto"/>
        <w:jc w:val="center"/>
        <w:rPr>
          <w:rFonts w:ascii="Calibri" w:hAnsi="Calibri" w:cs="Calibri"/>
          <w:sz w:val="28"/>
          <w:szCs w:val="28"/>
        </w:rPr>
      </w:pPr>
      <w:r w:rsidRPr="00F57130">
        <w:rPr>
          <w:rFonts w:ascii="Calibri" w:hAnsi="Calibri" w:cs="Calibri"/>
          <w:sz w:val="28"/>
          <w:szCs w:val="28"/>
        </w:rPr>
        <w:t>National Fireworks Association</w:t>
      </w:r>
    </w:p>
    <w:p w14:paraId="09DCD946" w14:textId="4BBCEEB3" w:rsidR="002B1EC4" w:rsidRPr="00F57130" w:rsidRDefault="00BD55E1" w:rsidP="00F57130">
      <w:pPr>
        <w:widowControl w:val="0"/>
        <w:spacing w:after="200" w:line="276" w:lineRule="auto"/>
        <w:jc w:val="center"/>
        <w:rPr>
          <w:rFonts w:ascii="Calibri" w:hAnsi="Calibri" w:cs="Calibri"/>
          <w:sz w:val="28"/>
          <w:szCs w:val="28"/>
        </w:rPr>
      </w:pPr>
      <w:r w:rsidRPr="00F57130">
        <w:rPr>
          <w:rFonts w:ascii="Calibri" w:hAnsi="Calibri" w:cs="Calibri"/>
          <w:sz w:val="28"/>
          <w:szCs w:val="28"/>
        </w:rPr>
        <w:t xml:space="preserve">Consumer Fireworks Identification Guide </w:t>
      </w:r>
      <w:commentRangeStart w:id="0"/>
      <w:r w:rsidR="00667118" w:rsidRPr="00F57130">
        <w:rPr>
          <w:rFonts w:ascii="Calibri" w:hAnsi="Calibri" w:cs="Calibri"/>
          <w:sz w:val="28"/>
          <w:szCs w:val="28"/>
        </w:rPr>
        <w:t>202</w:t>
      </w:r>
      <w:r w:rsidR="00A06899">
        <w:rPr>
          <w:rFonts w:ascii="Calibri" w:hAnsi="Calibri" w:cs="Calibri"/>
          <w:sz w:val="28"/>
          <w:szCs w:val="28"/>
        </w:rPr>
        <w:t>6</w:t>
      </w:r>
      <w:r w:rsidR="00667118" w:rsidRPr="00F57130">
        <w:rPr>
          <w:rFonts w:ascii="Calibri" w:hAnsi="Calibri" w:cs="Calibri"/>
          <w:sz w:val="28"/>
          <w:szCs w:val="28"/>
        </w:rPr>
        <w:t xml:space="preserve"> </w:t>
      </w:r>
      <w:commentRangeEnd w:id="0"/>
      <w:r w:rsidR="00A06899" w:rsidRPr="00F57130">
        <w:rPr>
          <w:rStyle w:val="CommentReference"/>
          <w:rFonts w:ascii="Calibri" w:hAnsi="Calibri" w:cs="Calibri"/>
          <w:sz w:val="28"/>
          <w:szCs w:val="28"/>
        </w:rPr>
        <w:commentReference w:id="0"/>
      </w:r>
      <w:r w:rsidRPr="00F57130">
        <w:rPr>
          <w:rFonts w:ascii="Calibri" w:hAnsi="Calibri" w:cs="Calibri"/>
          <w:sz w:val="28"/>
          <w:szCs w:val="28"/>
        </w:rPr>
        <w:t xml:space="preserve">Edition </w:t>
      </w:r>
      <w:r w:rsidR="002201AA">
        <w:rPr>
          <w:rFonts w:ascii="Calibri" w:hAnsi="Calibri" w:cs="Calibri"/>
          <w:sz w:val="28"/>
          <w:szCs w:val="28"/>
        </w:rPr>
        <w:t>rev. 3.5.26</w:t>
      </w:r>
    </w:p>
    <w:p w14:paraId="63E5BC3A" w14:textId="3464E3C2" w:rsidR="002B1EC4" w:rsidRPr="00F57130" w:rsidRDefault="00BD55E1" w:rsidP="00F57130">
      <w:pPr>
        <w:pStyle w:val="pf0"/>
        <w:rPr>
          <w:rFonts w:asciiTheme="minorHAnsi" w:hAnsiTheme="minorHAnsi" w:cstheme="minorHAnsi"/>
          <w:sz w:val="22"/>
          <w:szCs w:val="22"/>
        </w:rPr>
      </w:pPr>
      <w:r>
        <w:rPr>
          <w:rFonts w:ascii="Calibri" w:hAnsi="Calibri" w:cs="Calibri"/>
        </w:rPr>
        <w:t xml:space="preserve">Disclaimer:  </w:t>
      </w:r>
      <w:r w:rsidRPr="00F57130">
        <w:rPr>
          <w:rFonts w:asciiTheme="minorHAnsi" w:hAnsiTheme="minorHAnsi" w:cstheme="minorHAnsi"/>
          <w:sz w:val="22"/>
          <w:szCs w:val="22"/>
        </w:rPr>
        <w:t xml:space="preserve">This guide is written as a general resource to retail fireworks business owners, stand or location managers/staff and enforcement officials to help better understand the general national legalities and requirements pertaining to consumer fireworks.  The purpose of this document is to aide users in becoming more knowledgeable about identifying </w:t>
      </w:r>
      <w:r w:rsidR="005B7D01" w:rsidRPr="00443125">
        <w:rPr>
          <w:rStyle w:val="cf01"/>
          <w:rFonts w:asciiTheme="minorHAnsi" w:eastAsiaTheme="majorEastAsia" w:hAnsiTheme="minorHAnsi" w:cstheme="minorHAnsi"/>
          <w:sz w:val="22"/>
          <w:szCs w:val="22"/>
        </w:rPr>
        <w:t xml:space="preserve">fireworks </w:t>
      </w:r>
      <w:r w:rsidR="00545B1C" w:rsidRPr="00545B1C">
        <w:rPr>
          <w:rFonts w:asciiTheme="minorHAnsi" w:hAnsiTheme="minorHAnsi" w:cstheme="minorHAnsi"/>
          <w:sz w:val="22"/>
          <w:szCs w:val="22"/>
        </w:rPr>
        <w:t>permissible</w:t>
      </w:r>
      <w:r w:rsidR="005B7D01" w:rsidRPr="00443125">
        <w:rPr>
          <w:rStyle w:val="cf01"/>
          <w:rFonts w:asciiTheme="minorHAnsi" w:eastAsiaTheme="majorEastAsia" w:hAnsiTheme="minorHAnsi" w:cstheme="minorHAnsi"/>
          <w:sz w:val="22"/>
          <w:szCs w:val="22"/>
        </w:rPr>
        <w:t xml:space="preserve"> for retail sales to the general public and fireworks not </w:t>
      </w:r>
      <w:r w:rsidR="00545B1C" w:rsidRPr="00545B1C">
        <w:rPr>
          <w:rFonts w:asciiTheme="minorHAnsi" w:hAnsiTheme="minorHAnsi" w:cstheme="minorHAnsi"/>
          <w:sz w:val="22"/>
          <w:szCs w:val="22"/>
        </w:rPr>
        <w:t>permissible</w:t>
      </w:r>
      <w:r w:rsidR="005B7D01" w:rsidRPr="00443125">
        <w:rPr>
          <w:rStyle w:val="cf01"/>
          <w:rFonts w:asciiTheme="minorHAnsi" w:eastAsiaTheme="majorEastAsia" w:hAnsiTheme="minorHAnsi" w:cstheme="minorHAnsi"/>
          <w:sz w:val="22"/>
          <w:szCs w:val="22"/>
        </w:rPr>
        <w:t xml:space="preserve"> for retail sales to the general public.</w:t>
      </w:r>
      <w:r w:rsidR="00F57130" w:rsidRPr="00F57130">
        <w:rPr>
          <w:rStyle w:val="cf01"/>
          <w:rFonts w:asciiTheme="minorHAnsi" w:eastAsiaTheme="majorEastAsia" w:hAnsiTheme="minorHAnsi" w:cstheme="minorHAnsi"/>
          <w:sz w:val="22"/>
          <w:szCs w:val="22"/>
        </w:rPr>
        <w:t xml:space="preserve"> </w:t>
      </w:r>
      <w:r w:rsidRPr="00F57130">
        <w:rPr>
          <w:rFonts w:asciiTheme="minorHAnsi" w:hAnsiTheme="minorHAnsi" w:cstheme="minorHAnsi"/>
          <w:sz w:val="22"/>
          <w:szCs w:val="22"/>
        </w:rPr>
        <w:t xml:space="preserve">Individual states and municipalities may have further restrictions over and above those discussed within this document. Any person(s) involved in the retail sale of consumer fireworks is responsible for obeying the laws applicable to their individual location. </w:t>
      </w:r>
    </w:p>
    <w:p w14:paraId="7F72E2BF" w14:textId="701B3A26" w:rsidR="002B1EC4" w:rsidRPr="00F57130" w:rsidRDefault="00221343">
      <w:pPr>
        <w:widowControl w:val="0"/>
        <w:spacing w:after="200" w:line="276" w:lineRule="auto"/>
        <w:rPr>
          <w:rFonts w:cstheme="minorHAnsi"/>
        </w:rPr>
      </w:pPr>
      <w:r>
        <w:rPr>
          <w:rFonts w:cstheme="minorHAnsi"/>
        </w:rPr>
        <w:t>C</w:t>
      </w:r>
      <w:commentRangeStart w:id="1"/>
      <w:r w:rsidR="00BD55E1" w:rsidRPr="00F57130">
        <w:rPr>
          <w:rFonts w:cstheme="minorHAnsi"/>
        </w:rPr>
        <w:t>hanges</w:t>
      </w:r>
      <w:commentRangeEnd w:id="1"/>
      <w:r w:rsidR="00F7250C" w:rsidRPr="00F57130">
        <w:rPr>
          <w:rStyle w:val="CommentReference"/>
          <w:rFonts w:cstheme="minorHAnsi"/>
          <w:sz w:val="22"/>
          <w:szCs w:val="22"/>
        </w:rPr>
        <w:commentReference w:id="1"/>
      </w:r>
      <w:r w:rsidR="00BD55E1" w:rsidRPr="00F57130">
        <w:rPr>
          <w:rFonts w:cstheme="minorHAnsi"/>
        </w:rPr>
        <w:t xml:space="preserve"> at the federal level regarding 1.4G and 1.4S fireworks classifications have made identifying “Consumer Fireworks” </w:t>
      </w:r>
      <w:r w:rsidR="00545B1C">
        <w:rPr>
          <w:rFonts w:cstheme="minorHAnsi"/>
        </w:rPr>
        <w:t>permissible</w:t>
      </w:r>
      <w:r w:rsidR="00BD55E1" w:rsidRPr="00F57130">
        <w:rPr>
          <w:rFonts w:cstheme="minorHAnsi"/>
        </w:rPr>
        <w:t xml:space="preserve"> for sale to the general consumer public versus </w:t>
      </w:r>
      <w:commentRangeStart w:id="2"/>
      <w:r w:rsidR="00BD55E1" w:rsidRPr="00F57130">
        <w:rPr>
          <w:rFonts w:cstheme="minorHAnsi"/>
        </w:rPr>
        <w:t xml:space="preserve">“Professional </w:t>
      </w:r>
      <w:r>
        <w:rPr>
          <w:rFonts w:cstheme="minorHAnsi"/>
        </w:rPr>
        <w:t>Use Only</w:t>
      </w:r>
      <w:r w:rsidR="00BD55E1" w:rsidRPr="00F57130">
        <w:rPr>
          <w:rFonts w:cstheme="minorHAnsi"/>
        </w:rPr>
        <w:t>” and “Articles Pyrotechnic”</w:t>
      </w:r>
      <w:commentRangeEnd w:id="2"/>
      <w:r w:rsidR="00F7250C">
        <w:rPr>
          <w:rStyle w:val="CommentReference"/>
          <w:rFonts w:cstheme="minorHAnsi"/>
          <w:sz w:val="22"/>
          <w:szCs w:val="22"/>
        </w:rPr>
        <w:commentReference w:id="2"/>
      </w:r>
      <w:r>
        <w:rPr>
          <w:rFonts w:cstheme="minorHAnsi"/>
        </w:rPr>
        <w:t xml:space="preserve"> fireworks</w:t>
      </w:r>
      <w:r w:rsidR="00BD55E1" w:rsidRPr="00F57130">
        <w:rPr>
          <w:rFonts w:cstheme="minorHAnsi"/>
        </w:rPr>
        <w:t xml:space="preserve"> not </w:t>
      </w:r>
      <w:r w:rsidR="00545B1C" w:rsidRPr="00545B1C">
        <w:rPr>
          <w:rFonts w:cstheme="minorHAnsi"/>
        </w:rPr>
        <w:t>permissible</w:t>
      </w:r>
      <w:r w:rsidR="00BD55E1" w:rsidRPr="00F57130">
        <w:rPr>
          <w:rFonts w:cstheme="minorHAnsi"/>
        </w:rPr>
        <w:t xml:space="preserve"> for sale to the general consumer public</w:t>
      </w:r>
      <w:r>
        <w:rPr>
          <w:rFonts w:cstheme="minorHAnsi"/>
        </w:rPr>
        <w:t>,</w:t>
      </w:r>
      <w:r w:rsidR="00BD55E1" w:rsidRPr="00F57130">
        <w:rPr>
          <w:rFonts w:cstheme="minorHAnsi"/>
        </w:rPr>
        <w:t xml:space="preserve"> more important than ever before. This document is produced with the intent to better aide users in identifying these differences</w:t>
      </w:r>
      <w:r w:rsidR="000845F0" w:rsidRPr="00F57130">
        <w:rPr>
          <w:rFonts w:cstheme="minorHAnsi"/>
        </w:rPr>
        <w:t xml:space="preserve"> </w:t>
      </w:r>
      <w:r w:rsidR="00BD55E1" w:rsidRPr="00F57130">
        <w:rPr>
          <w:rFonts w:cstheme="minorHAnsi"/>
        </w:rPr>
        <w:t>and is being provided as a service to both enforcement authorities and the consumer fireworks retail industry as an information source. It is not intended to, nor does it carry with it any force of authority or law, either assumed or unassumed, relative to consumer fireworks. It is essential to check the laws in your specific area before selling or using fireworks to ensure that you are operating within the requirements of any local laws of the jurisdiction(s) you are operating in.</w:t>
      </w:r>
    </w:p>
    <w:p w14:paraId="7571A5E1" w14:textId="441397EC" w:rsidR="002B1EC4" w:rsidRPr="00443125" w:rsidRDefault="00BD55E1">
      <w:pPr>
        <w:widowControl w:val="0"/>
        <w:spacing w:after="200" w:line="276" w:lineRule="auto"/>
        <w:rPr>
          <w:rFonts w:ascii="Calibri" w:hAnsi="Calibri" w:cs="Calibri"/>
          <w:sz w:val="24"/>
          <w:szCs w:val="24"/>
        </w:rPr>
      </w:pPr>
      <w:r w:rsidRPr="00443125">
        <w:rPr>
          <w:rFonts w:ascii="Calibri" w:hAnsi="Calibri" w:cs="Calibri"/>
          <w:sz w:val="24"/>
          <w:szCs w:val="24"/>
        </w:rPr>
        <w:t>Section 1 - Definitions</w:t>
      </w:r>
    </w:p>
    <w:p w14:paraId="23F5A98B" w14:textId="3EB817D2" w:rsidR="002B1EC4" w:rsidRDefault="00BD55E1">
      <w:pPr>
        <w:widowControl w:val="0"/>
        <w:spacing w:after="200" w:line="276" w:lineRule="auto"/>
        <w:rPr>
          <w:rFonts w:ascii="Calibri" w:hAnsi="Calibri" w:cs="Calibri"/>
        </w:rPr>
      </w:pPr>
      <w:r>
        <w:rPr>
          <w:rFonts w:ascii="Calibri" w:hAnsi="Calibri" w:cs="Calibri"/>
        </w:rPr>
        <w:t>Articles Pyrotechnic - this means any properly classed UN0431, 1.</w:t>
      </w:r>
      <w:r w:rsidR="00656863">
        <w:rPr>
          <w:rFonts w:ascii="Calibri" w:hAnsi="Calibri" w:cs="Calibri"/>
        </w:rPr>
        <w:t>4G or UN0432, 1.4S</w:t>
      </w:r>
      <w:r>
        <w:rPr>
          <w:rFonts w:ascii="Calibri" w:hAnsi="Calibri" w:cs="Calibri"/>
        </w:rPr>
        <w:t xml:space="preserve">, </w:t>
      </w:r>
      <w:r w:rsidRPr="000845F0">
        <w:rPr>
          <w:rFonts w:ascii="Calibri" w:hAnsi="Calibri" w:cs="Calibri"/>
        </w:rPr>
        <w:t>labelled item</w:t>
      </w:r>
      <w:r w:rsidRPr="005B7D01">
        <w:rPr>
          <w:rFonts w:ascii="Calibri" w:hAnsi="Calibri" w:cs="Calibri"/>
        </w:rPr>
        <w:t xml:space="preserve"> </w:t>
      </w:r>
      <w:r>
        <w:rPr>
          <w:rFonts w:ascii="Calibri" w:hAnsi="Calibri" w:cs="Calibri"/>
        </w:rPr>
        <w:t>that is available for sale to someone meeting the definition of professional or licensed professional as defined in this document.</w:t>
      </w:r>
    </w:p>
    <w:p w14:paraId="2275F644" w14:textId="6CBED555" w:rsidR="002B1EC4" w:rsidRDefault="00BD55E1">
      <w:pPr>
        <w:widowControl w:val="0"/>
        <w:spacing w:after="200" w:line="276" w:lineRule="auto"/>
        <w:rPr>
          <w:rFonts w:ascii="Calibri" w:hAnsi="Calibri" w:cs="Calibri"/>
        </w:rPr>
      </w:pPr>
      <w:r>
        <w:rPr>
          <w:rFonts w:ascii="Calibri" w:hAnsi="Calibri" w:cs="Calibri"/>
        </w:rPr>
        <w:t xml:space="preserve">Consumer Fireworks – this means any properly classed UN0336, 1.4G and UN0337, 1.4S, </w:t>
      </w:r>
      <w:r w:rsidR="002918ED">
        <w:rPr>
          <w:rFonts w:ascii="Calibri" w:hAnsi="Calibri" w:cs="Calibri"/>
        </w:rPr>
        <w:t xml:space="preserve">item that is </w:t>
      </w:r>
      <w:r>
        <w:rPr>
          <w:rFonts w:ascii="Calibri" w:hAnsi="Calibri" w:cs="Calibri"/>
        </w:rPr>
        <w:t>labelled</w:t>
      </w:r>
      <w:r w:rsidR="002918ED">
        <w:rPr>
          <w:rFonts w:ascii="Calibri" w:hAnsi="Calibri" w:cs="Calibri"/>
        </w:rPr>
        <w:t xml:space="preserve"> in accordance with the requirements set forth in 16 CFR and</w:t>
      </w:r>
      <w:r>
        <w:rPr>
          <w:rFonts w:ascii="Calibri" w:hAnsi="Calibri" w:cs="Calibri"/>
        </w:rPr>
        <w:t xml:space="preserve"> is available for sale to the general consumer public.</w:t>
      </w:r>
      <w:r w:rsidR="00D64EB1">
        <w:rPr>
          <w:rFonts w:ascii="Calibri" w:hAnsi="Calibri" w:cs="Calibri"/>
        </w:rPr>
        <w:t xml:space="preserve"> </w:t>
      </w:r>
      <w:r w:rsidR="00D64EB1" w:rsidRPr="000845F0">
        <w:rPr>
          <w:rFonts w:ascii="Calibri" w:hAnsi="Calibri" w:cs="Calibri"/>
        </w:rPr>
        <w:t xml:space="preserve">Novelty fireworks devices are </w:t>
      </w:r>
      <w:r w:rsidR="007B30E9" w:rsidRPr="000845F0">
        <w:rPr>
          <w:rFonts w:ascii="Calibri" w:hAnsi="Calibri" w:cs="Calibri"/>
        </w:rPr>
        <w:t>considered Consumer Fireworks.</w:t>
      </w:r>
    </w:p>
    <w:p w14:paraId="70805792" w14:textId="69762940" w:rsidR="00545B1C" w:rsidRDefault="00545B1C">
      <w:pPr>
        <w:widowControl w:val="0"/>
        <w:spacing w:after="200" w:line="276" w:lineRule="auto"/>
        <w:rPr>
          <w:rFonts w:ascii="Calibri" w:hAnsi="Calibri" w:cs="Calibri"/>
        </w:rPr>
      </w:pPr>
      <w:r>
        <w:rPr>
          <w:rFonts w:ascii="Calibri" w:hAnsi="Calibri" w:cs="Calibri"/>
        </w:rPr>
        <w:t>Hazard Classification</w:t>
      </w:r>
      <w:r w:rsidR="00221343">
        <w:rPr>
          <w:rFonts w:ascii="Calibri" w:hAnsi="Calibri" w:cs="Calibri"/>
        </w:rPr>
        <w:t xml:space="preserve"> – </w:t>
      </w:r>
      <w:r>
        <w:rPr>
          <w:rFonts w:ascii="Calibri" w:hAnsi="Calibri" w:cs="Calibri"/>
        </w:rPr>
        <w:t xml:space="preserve">UN0336, 1.4G, UN0337, 1.4S, UN0431, and UN0432, (1.4G, and 1.4S) are transportation classifications designated by PHMSA/DOT and encompass </w:t>
      </w:r>
      <w:r w:rsidRPr="00221935">
        <w:rPr>
          <w:rFonts w:ascii="Calibri" w:hAnsi="Calibri" w:cs="Calibri"/>
        </w:rPr>
        <w:t>various types of</w:t>
      </w:r>
      <w:r>
        <w:rPr>
          <w:rFonts w:ascii="Calibri" w:hAnsi="Calibri" w:cs="Calibri"/>
        </w:rPr>
        <w:t xml:space="preserve"> Fireworks.</w:t>
      </w:r>
    </w:p>
    <w:p w14:paraId="22754E18" w14:textId="34A1238D" w:rsidR="002B1EC4" w:rsidRDefault="00BD55E1">
      <w:pPr>
        <w:widowControl w:val="0"/>
        <w:spacing w:after="200" w:line="276" w:lineRule="auto"/>
        <w:rPr>
          <w:rFonts w:ascii="Calibri" w:hAnsi="Calibri" w:cs="Calibri"/>
        </w:rPr>
      </w:pPr>
      <w:r>
        <w:rPr>
          <w:rFonts w:ascii="Calibri" w:hAnsi="Calibri" w:cs="Calibri"/>
        </w:rPr>
        <w:t xml:space="preserve">Licensed Professional – this means anyone that holds a State approved Pyrotechnic/Shooter’s license or an officially accepted document to meet equivalency. This would include certifications such as the PGI Certified Pyrotechnician License or other such license(s) as determined required by a state or local AHJ to perform professional fireworks display shows for the public. Typically, but not always, such a person will be affiliated with a licensed pyrotechnic display company </w:t>
      </w:r>
      <w:r w:rsidR="002918ED">
        <w:rPr>
          <w:rFonts w:ascii="Calibri" w:hAnsi="Calibri" w:cs="Calibri"/>
        </w:rPr>
        <w:t>that</w:t>
      </w:r>
      <w:r>
        <w:rPr>
          <w:rFonts w:ascii="Calibri" w:hAnsi="Calibri" w:cs="Calibri"/>
        </w:rPr>
        <w:t xml:space="preserve"> will </w:t>
      </w:r>
      <w:r w:rsidR="002918ED">
        <w:rPr>
          <w:rFonts w:ascii="Calibri" w:hAnsi="Calibri" w:cs="Calibri"/>
        </w:rPr>
        <w:t>ensure that the individual’s</w:t>
      </w:r>
      <w:r>
        <w:rPr>
          <w:rFonts w:ascii="Calibri" w:hAnsi="Calibri" w:cs="Calibri"/>
        </w:rPr>
        <w:t xml:space="preserve"> required BATFE licensing requirements have been met.</w:t>
      </w:r>
    </w:p>
    <w:p w14:paraId="05749943" w14:textId="6C66AFB8" w:rsidR="00545B1C" w:rsidRDefault="00545B1C">
      <w:pPr>
        <w:widowControl w:val="0"/>
        <w:spacing w:after="200" w:line="276" w:lineRule="auto"/>
        <w:rPr>
          <w:rFonts w:ascii="Calibri" w:hAnsi="Calibri" w:cs="Calibri"/>
        </w:rPr>
      </w:pPr>
      <w:r>
        <w:rPr>
          <w:rFonts w:ascii="Calibri" w:hAnsi="Calibri" w:cs="Calibri"/>
        </w:rPr>
        <w:t>Novelties</w:t>
      </w:r>
      <w:r w:rsidR="00221343">
        <w:rPr>
          <w:rFonts w:ascii="Calibri" w:hAnsi="Calibri" w:cs="Calibri"/>
        </w:rPr>
        <w:t xml:space="preserve"> – </w:t>
      </w:r>
      <w:r>
        <w:rPr>
          <w:rFonts w:ascii="Calibri" w:hAnsi="Calibri" w:cs="Calibri"/>
        </w:rPr>
        <w:t xml:space="preserve">Small pyrotechnic devices that have relatively limited effects. Some common legal consumer items that fall </w:t>
      </w:r>
      <w:r>
        <w:rPr>
          <w:rFonts w:ascii="Calibri" w:hAnsi="Calibri" w:cs="Calibri"/>
        </w:rPr>
        <w:lastRenderedPageBreak/>
        <w:t xml:space="preserve">into the novelty category are sparklers, snap pops and some noisemakers. </w:t>
      </w:r>
      <w:r w:rsidRPr="00221935">
        <w:rPr>
          <w:rFonts w:ascii="Calibri" w:hAnsi="Calibri" w:cs="Calibri"/>
        </w:rPr>
        <w:t>Many</w:t>
      </w:r>
      <w:r>
        <w:rPr>
          <w:rFonts w:ascii="Calibri" w:hAnsi="Calibri" w:cs="Calibri"/>
        </w:rPr>
        <w:t xml:space="preserve"> </w:t>
      </w:r>
      <w:r w:rsidR="00DC65B4">
        <w:rPr>
          <w:rFonts w:ascii="Calibri" w:hAnsi="Calibri" w:cs="Calibri"/>
        </w:rPr>
        <w:t>times,</w:t>
      </w:r>
      <w:r>
        <w:rPr>
          <w:rFonts w:ascii="Calibri" w:hAnsi="Calibri" w:cs="Calibri"/>
        </w:rPr>
        <w:t xml:space="preserve"> novelties will be a device that does not have an ignition fuse.</w:t>
      </w:r>
    </w:p>
    <w:p w14:paraId="0941BBD3" w14:textId="784F5EA9" w:rsidR="002B1EC4" w:rsidRDefault="00545B1C">
      <w:pPr>
        <w:widowControl w:val="0"/>
        <w:spacing w:after="200" w:line="276" w:lineRule="auto"/>
        <w:rPr>
          <w:rFonts w:ascii="Calibri" w:hAnsi="Calibri" w:cs="Calibri"/>
        </w:rPr>
      </w:pPr>
      <w:r>
        <w:rPr>
          <w:rFonts w:ascii="Calibri" w:hAnsi="Calibri" w:cs="Calibri"/>
        </w:rPr>
        <w:t>P</w:t>
      </w:r>
      <w:r w:rsidR="00BD55E1">
        <w:rPr>
          <w:rFonts w:ascii="Calibri" w:hAnsi="Calibri" w:cs="Calibri"/>
        </w:rPr>
        <w:t xml:space="preserve">rofessional – </w:t>
      </w:r>
      <w:r>
        <w:rPr>
          <w:rFonts w:ascii="Calibri" w:hAnsi="Calibri" w:cs="Calibri"/>
        </w:rPr>
        <w:t xml:space="preserve">With regard to those individuals who may </w:t>
      </w:r>
      <w:r w:rsidR="00DC65B4">
        <w:rPr>
          <w:rFonts w:ascii="Calibri" w:hAnsi="Calibri" w:cs="Calibri"/>
        </w:rPr>
        <w:t>possess,</w:t>
      </w:r>
      <w:r>
        <w:rPr>
          <w:rFonts w:ascii="Calibri" w:hAnsi="Calibri" w:cs="Calibri"/>
        </w:rPr>
        <w:t xml:space="preserve"> or use</w:t>
      </w:r>
      <w:r w:rsidR="00DC65B4">
        <w:rPr>
          <w:rFonts w:ascii="Calibri" w:hAnsi="Calibri" w:cs="Calibri"/>
        </w:rPr>
        <w:t>,</w:t>
      </w:r>
      <w:r>
        <w:rPr>
          <w:rFonts w:ascii="Calibri" w:hAnsi="Calibri" w:cs="Calibri"/>
        </w:rPr>
        <w:t xml:space="preserve"> “Articles Pyrotechnic” or “Professional Use Only Fireworks” as defined herein, and unless a particular AHJ has a more restrictive definition or requirement, </w:t>
      </w:r>
      <w:r w:rsidR="00BD55E1">
        <w:rPr>
          <w:rFonts w:ascii="Calibri" w:hAnsi="Calibri" w:cs="Calibri"/>
        </w:rPr>
        <w:t>this means anyone who meets the NFA definition of Professional as follows:</w:t>
      </w:r>
    </w:p>
    <w:p w14:paraId="39CF3D9B" w14:textId="14F6770B" w:rsidR="002B1EC4" w:rsidRDefault="00BD55E1" w:rsidP="00E12ABF">
      <w:pPr>
        <w:widowControl w:val="0"/>
        <w:spacing w:after="200" w:line="276" w:lineRule="auto"/>
        <w:rPr>
          <w:rFonts w:ascii="Calibri" w:hAnsi="Calibri" w:cs="Calibri"/>
        </w:rPr>
      </w:pPr>
      <w:r>
        <w:rPr>
          <w:rFonts w:ascii="Calibri" w:hAnsi="Calibri" w:cs="Calibri"/>
        </w:rPr>
        <w:t xml:space="preserve">  </w:t>
      </w:r>
      <w:r w:rsidRPr="002918ED">
        <w:rPr>
          <w:rFonts w:ascii="Calibri" w:hAnsi="Calibri" w:cs="Calibri"/>
          <w:i/>
          <w:iCs/>
        </w:rPr>
        <w:t>NFA Announces Their Definition of Professional Use Only for Pyrotechnics and Fireworks – August 1, 2022</w:t>
      </w:r>
    </w:p>
    <w:p w14:paraId="297DECFC" w14:textId="5A49669E" w:rsidR="001C62E7" w:rsidRPr="00443125" w:rsidRDefault="00BD55E1" w:rsidP="00443125">
      <w:pPr>
        <w:pStyle w:val="ListParagraph"/>
        <w:widowControl w:val="0"/>
        <w:numPr>
          <w:ilvl w:val="0"/>
          <w:numId w:val="2"/>
        </w:numPr>
        <w:spacing w:after="200" w:line="276" w:lineRule="auto"/>
        <w:rPr>
          <w:rFonts w:ascii="Calibri" w:hAnsi="Calibri" w:cs="Calibri"/>
        </w:rPr>
      </w:pPr>
      <w:r w:rsidRPr="00443125">
        <w:rPr>
          <w:rFonts w:ascii="Calibri" w:hAnsi="Calibri" w:cs="Calibri"/>
        </w:rPr>
        <w:t xml:space="preserve">The requirement for Professional is met by a person when they have the necessary knowledge through education, skill, training, demonstration, and/or prior experience to safely, legally, and responsibly use articles pyrotechnic or fireworks. </w:t>
      </w:r>
    </w:p>
    <w:p w14:paraId="7BB1E008" w14:textId="4CF2B349" w:rsidR="001C62E7" w:rsidRPr="00443125" w:rsidRDefault="00BD55E1" w:rsidP="00443125">
      <w:pPr>
        <w:pStyle w:val="ListParagraph"/>
        <w:widowControl w:val="0"/>
        <w:numPr>
          <w:ilvl w:val="0"/>
          <w:numId w:val="2"/>
        </w:numPr>
        <w:spacing w:after="200" w:line="276" w:lineRule="auto"/>
        <w:rPr>
          <w:rFonts w:ascii="Calibri" w:hAnsi="Calibri" w:cs="Calibri"/>
        </w:rPr>
      </w:pPr>
      <w:r w:rsidRPr="00443125">
        <w:rPr>
          <w:rFonts w:ascii="Calibri" w:hAnsi="Calibri" w:cs="Calibri"/>
        </w:rPr>
        <w:t xml:space="preserve">Professional use does not require that a person be employed or compensated to use Professional Use </w:t>
      </w:r>
      <w:r w:rsidR="001C62E7" w:rsidRPr="002918ED">
        <w:rPr>
          <w:rFonts w:ascii="Calibri" w:hAnsi="Calibri" w:cs="Calibri"/>
        </w:rPr>
        <w:t>Only Fireworks</w:t>
      </w:r>
      <w:r w:rsidR="00545B1C" w:rsidRPr="002918ED">
        <w:rPr>
          <w:rFonts w:ascii="Calibri" w:hAnsi="Calibri" w:cs="Calibri"/>
        </w:rPr>
        <w:t xml:space="preserve"> </w:t>
      </w:r>
      <w:r w:rsidR="00545B1C">
        <w:rPr>
          <w:rFonts w:ascii="Calibri" w:hAnsi="Calibri" w:cs="Calibri"/>
        </w:rPr>
        <w:t>and/or Articles Pyrotechnic</w:t>
      </w:r>
      <w:r w:rsidR="001C62E7" w:rsidRPr="002918ED">
        <w:rPr>
          <w:rFonts w:ascii="Calibri" w:hAnsi="Calibri" w:cs="Calibri"/>
        </w:rPr>
        <w:t xml:space="preserve"> </w:t>
      </w:r>
      <w:r w:rsidRPr="00443125">
        <w:rPr>
          <w:rFonts w:ascii="Calibri" w:hAnsi="Calibri" w:cs="Calibri"/>
        </w:rPr>
        <w:t xml:space="preserve">products. </w:t>
      </w:r>
    </w:p>
    <w:p w14:paraId="77C3164B" w14:textId="77777777" w:rsidR="001C62E7" w:rsidRPr="00443125" w:rsidRDefault="00BD55E1" w:rsidP="00443125">
      <w:pPr>
        <w:pStyle w:val="ListParagraph"/>
        <w:widowControl w:val="0"/>
        <w:numPr>
          <w:ilvl w:val="0"/>
          <w:numId w:val="2"/>
        </w:numPr>
        <w:spacing w:after="200" w:line="276" w:lineRule="auto"/>
        <w:rPr>
          <w:rFonts w:ascii="Calibri" w:hAnsi="Calibri" w:cs="Calibri"/>
        </w:rPr>
      </w:pPr>
      <w:r w:rsidRPr="00443125">
        <w:rPr>
          <w:rFonts w:ascii="Calibri" w:hAnsi="Calibri" w:cs="Calibri"/>
        </w:rPr>
        <w:t xml:space="preserve">Professional use does not require use to be in commerce and personal entertainment purposes are allowed.  </w:t>
      </w:r>
    </w:p>
    <w:p w14:paraId="5E7B46BD" w14:textId="15D4C2FA" w:rsidR="002B1EC4" w:rsidRDefault="00BD55E1" w:rsidP="001C62E7">
      <w:pPr>
        <w:pStyle w:val="ListParagraph"/>
        <w:widowControl w:val="0"/>
        <w:numPr>
          <w:ilvl w:val="0"/>
          <w:numId w:val="2"/>
        </w:numPr>
        <w:spacing w:after="200" w:line="276" w:lineRule="auto"/>
        <w:rPr>
          <w:rFonts w:ascii="Calibri" w:hAnsi="Calibri" w:cs="Calibri"/>
        </w:rPr>
      </w:pPr>
      <w:r w:rsidRPr="00443125">
        <w:rPr>
          <w:rFonts w:ascii="Calibri" w:hAnsi="Calibri" w:cs="Calibri"/>
        </w:rPr>
        <w:t xml:space="preserve">Professional Use </w:t>
      </w:r>
      <w:r w:rsidR="001C62E7" w:rsidRPr="002918ED">
        <w:rPr>
          <w:rFonts w:ascii="Calibri" w:hAnsi="Calibri" w:cs="Calibri"/>
        </w:rPr>
        <w:t>Only Fireworks</w:t>
      </w:r>
      <w:r w:rsidR="00545B1C" w:rsidRPr="002918ED">
        <w:rPr>
          <w:rFonts w:ascii="Calibri" w:hAnsi="Calibri" w:cs="Calibri"/>
        </w:rPr>
        <w:t xml:space="preserve"> </w:t>
      </w:r>
      <w:r w:rsidR="00545B1C">
        <w:rPr>
          <w:rFonts w:ascii="Calibri" w:hAnsi="Calibri" w:cs="Calibri"/>
        </w:rPr>
        <w:t>and/or Articles Pyrotechnic</w:t>
      </w:r>
      <w:r w:rsidR="001C62E7" w:rsidRPr="002918ED">
        <w:rPr>
          <w:rFonts w:ascii="Calibri" w:hAnsi="Calibri" w:cs="Calibri"/>
        </w:rPr>
        <w:t xml:space="preserve"> </w:t>
      </w:r>
      <w:r w:rsidRPr="00443125">
        <w:rPr>
          <w:rFonts w:ascii="Calibri" w:hAnsi="Calibri" w:cs="Calibri"/>
        </w:rPr>
        <w:t>products may not be used by a person that does not have knowledge and training on how to use the products safely, legally, and responsibly unless they are under the direct and continuous supervision of a person meeting the requirements of Professional Use.</w:t>
      </w:r>
    </w:p>
    <w:p w14:paraId="44DFFE3C" w14:textId="26ABA86A" w:rsidR="001C62E7" w:rsidRPr="00443125" w:rsidRDefault="001C62E7" w:rsidP="00443125">
      <w:pPr>
        <w:pStyle w:val="ListParagraph"/>
        <w:widowControl w:val="0"/>
        <w:numPr>
          <w:ilvl w:val="0"/>
          <w:numId w:val="2"/>
        </w:numPr>
        <w:spacing w:after="200" w:line="276" w:lineRule="auto"/>
        <w:rPr>
          <w:rFonts w:ascii="Calibri" w:hAnsi="Calibri" w:cs="Calibri"/>
        </w:rPr>
      </w:pPr>
      <w:r>
        <w:rPr>
          <w:rFonts w:ascii="Calibri" w:hAnsi="Calibri" w:cs="Calibri"/>
        </w:rPr>
        <w:t xml:space="preserve">Testing, training, interviewing, a resume review, contacting references, or any other reasonable review process are all acceptable methods of determining if a person has met the requirement of having the knowledge necessary to safely, legally, and responsibly use </w:t>
      </w:r>
      <w:r w:rsidRPr="002918ED">
        <w:rPr>
          <w:rFonts w:ascii="Calibri" w:hAnsi="Calibri" w:cs="Calibri"/>
        </w:rPr>
        <w:t>Professional Use Only Fireworks</w:t>
      </w:r>
      <w:r w:rsidR="00545B1C" w:rsidRPr="002918ED">
        <w:rPr>
          <w:rFonts w:ascii="Calibri" w:hAnsi="Calibri" w:cs="Calibri"/>
        </w:rPr>
        <w:t xml:space="preserve"> </w:t>
      </w:r>
      <w:r w:rsidR="00545B1C">
        <w:rPr>
          <w:rFonts w:ascii="Calibri" w:hAnsi="Calibri" w:cs="Calibri"/>
        </w:rPr>
        <w:t>and/or Articles Pyrotechnic</w:t>
      </w:r>
      <w:r w:rsidRPr="00443125">
        <w:rPr>
          <w:rFonts w:ascii="Calibri" w:hAnsi="Calibri" w:cs="Calibri"/>
        </w:rPr>
        <w:t xml:space="preserve"> </w:t>
      </w:r>
      <w:r>
        <w:rPr>
          <w:rFonts w:ascii="Calibri" w:hAnsi="Calibri" w:cs="Calibri"/>
        </w:rPr>
        <w:t>products.</w:t>
      </w:r>
    </w:p>
    <w:p w14:paraId="014B8FB8" w14:textId="38F72937" w:rsidR="002B1EC4" w:rsidRDefault="00BD55E1">
      <w:pPr>
        <w:widowControl w:val="0"/>
        <w:spacing w:after="200" w:line="276" w:lineRule="auto"/>
        <w:rPr>
          <w:rFonts w:ascii="Calibri" w:hAnsi="Calibri" w:cs="Calibri"/>
        </w:rPr>
      </w:pPr>
      <w:r>
        <w:rPr>
          <w:rFonts w:ascii="Calibri" w:hAnsi="Calibri" w:cs="Calibri"/>
        </w:rPr>
        <w:t>Professional Use Only</w:t>
      </w:r>
      <w:r w:rsidR="006E5EC5">
        <w:rPr>
          <w:rFonts w:ascii="Calibri" w:hAnsi="Calibri" w:cs="Calibri"/>
        </w:rPr>
        <w:t xml:space="preserve"> </w:t>
      </w:r>
      <w:r w:rsidR="001C62E7" w:rsidRPr="002918ED">
        <w:rPr>
          <w:rFonts w:ascii="Calibri" w:hAnsi="Calibri" w:cs="Calibri"/>
        </w:rPr>
        <w:t>Firework</w:t>
      </w:r>
      <w:r>
        <w:rPr>
          <w:rFonts w:ascii="Calibri" w:hAnsi="Calibri" w:cs="Calibri"/>
        </w:rPr>
        <w:t xml:space="preserve"> – this means any properly classed UN0336, 1.4G, labelled item that is available for sale to someone meeting the definition of licensed professional or professional as defined in this document. These are NOT </w:t>
      </w:r>
      <w:r w:rsidR="00545B1C">
        <w:rPr>
          <w:rFonts w:ascii="Calibri" w:hAnsi="Calibri" w:cs="Calibri"/>
        </w:rPr>
        <w:t>permissible</w:t>
      </w:r>
      <w:r>
        <w:rPr>
          <w:rFonts w:ascii="Calibri" w:hAnsi="Calibri" w:cs="Calibri"/>
        </w:rPr>
        <w:t xml:space="preserve"> for sale to the general consumer public.</w:t>
      </w:r>
    </w:p>
    <w:p w14:paraId="4AD5374C" w14:textId="37DD3D17" w:rsidR="002B1EC4" w:rsidRPr="00443125" w:rsidRDefault="00BD55E1">
      <w:pPr>
        <w:widowControl w:val="0"/>
        <w:spacing w:after="200" w:line="276" w:lineRule="auto"/>
        <w:rPr>
          <w:rFonts w:ascii="Calibri" w:hAnsi="Calibri" w:cs="Calibri"/>
          <w:sz w:val="24"/>
          <w:szCs w:val="24"/>
        </w:rPr>
      </w:pPr>
      <w:r w:rsidRPr="00443125">
        <w:rPr>
          <w:rFonts w:ascii="Calibri" w:hAnsi="Calibri" w:cs="Calibri"/>
          <w:sz w:val="24"/>
          <w:szCs w:val="24"/>
        </w:rPr>
        <w:t>Section 2: Types and Classifications of allowed fireworks</w:t>
      </w:r>
    </w:p>
    <w:p w14:paraId="70B733F4" w14:textId="74A1BD35" w:rsidR="002B1EC4" w:rsidRDefault="00BD55E1">
      <w:pPr>
        <w:widowControl w:val="0"/>
        <w:spacing w:after="200" w:line="276" w:lineRule="auto"/>
        <w:rPr>
          <w:rFonts w:ascii="Calibri" w:hAnsi="Calibri" w:cs="Calibri"/>
        </w:rPr>
      </w:pPr>
      <w:r>
        <w:rPr>
          <w:rFonts w:ascii="Calibri" w:hAnsi="Calibri" w:cs="Calibri"/>
        </w:rPr>
        <w:t>Consumer Fireworks carry a classification of 1.4G, and 1.4S, though not all 1.4G and 1.4S fireworks are legal for sale to the general consumer public. That is why we feel this document is valuable. We will reference this repeatedly in the upcoming sections.</w:t>
      </w:r>
    </w:p>
    <w:p w14:paraId="3F50F8AC" w14:textId="5B4670BC" w:rsidR="002B1EC4" w:rsidRDefault="00BD55E1">
      <w:pPr>
        <w:widowControl w:val="0"/>
        <w:spacing w:after="200" w:line="276" w:lineRule="auto"/>
        <w:rPr>
          <w:rFonts w:ascii="Calibri" w:hAnsi="Calibri" w:cs="Calibri"/>
        </w:rPr>
      </w:pPr>
      <w:r>
        <w:rPr>
          <w:rFonts w:ascii="Calibri" w:hAnsi="Calibri" w:cs="Calibri"/>
        </w:rPr>
        <w:t xml:space="preserve">For purposes of this </w:t>
      </w:r>
      <w:r w:rsidR="00E12ABF">
        <w:rPr>
          <w:rFonts w:ascii="Calibri" w:hAnsi="Calibri" w:cs="Calibri"/>
        </w:rPr>
        <w:t>document,</w:t>
      </w:r>
      <w:r>
        <w:rPr>
          <w:rFonts w:ascii="Calibri" w:hAnsi="Calibri" w:cs="Calibri"/>
        </w:rPr>
        <w:t xml:space="preserve"> we will be covering the following fireworks classifications and offering more detail in the body of this document:</w:t>
      </w:r>
    </w:p>
    <w:p w14:paraId="2060C104" w14:textId="77777777" w:rsidR="002B1EC4" w:rsidRDefault="00BD55E1">
      <w:pPr>
        <w:widowControl w:val="0"/>
        <w:numPr>
          <w:ilvl w:val="0"/>
          <w:numId w:val="1"/>
        </w:numPr>
        <w:spacing w:after="200" w:line="276" w:lineRule="auto"/>
        <w:rPr>
          <w:rFonts w:ascii="Calibri" w:hAnsi="Calibri" w:cs="Calibri"/>
        </w:rPr>
      </w:pPr>
      <w:r>
        <w:rPr>
          <w:rFonts w:ascii="Calibri" w:hAnsi="Calibri" w:cs="Calibri"/>
        </w:rPr>
        <w:t>UN0431, 1.4G or UN0432, 1.4S Articles Pyrotechnic - should never be sold to consumers or offered for sale in a traditional retail setting.</w:t>
      </w:r>
    </w:p>
    <w:p w14:paraId="3AD98AD3" w14:textId="3D7D6F5A" w:rsidR="002B1EC4" w:rsidRDefault="00BD55E1">
      <w:pPr>
        <w:widowControl w:val="0"/>
        <w:numPr>
          <w:ilvl w:val="0"/>
          <w:numId w:val="1"/>
        </w:numPr>
        <w:spacing w:after="200" w:line="276" w:lineRule="auto"/>
        <w:rPr>
          <w:rFonts w:ascii="Calibri" w:hAnsi="Calibri" w:cs="Calibri"/>
        </w:rPr>
      </w:pPr>
      <w:r>
        <w:rPr>
          <w:rFonts w:ascii="Calibri" w:hAnsi="Calibri" w:cs="Calibri"/>
        </w:rPr>
        <w:lastRenderedPageBreak/>
        <w:t xml:space="preserve">UN0336, 1.4G </w:t>
      </w:r>
      <w:commentRangeStart w:id="3"/>
      <w:r>
        <w:rPr>
          <w:rFonts w:ascii="Calibri" w:hAnsi="Calibri" w:cs="Calibri"/>
        </w:rPr>
        <w:t xml:space="preserve">Professional Use </w:t>
      </w:r>
      <w:r w:rsidRPr="00E12ABF">
        <w:rPr>
          <w:rFonts w:ascii="Calibri" w:hAnsi="Calibri" w:cs="Calibri"/>
        </w:rPr>
        <w:t>Only</w:t>
      </w:r>
      <w:r w:rsidR="007B30E9" w:rsidRPr="00E12ABF">
        <w:rPr>
          <w:rFonts w:ascii="Calibri" w:hAnsi="Calibri" w:cs="Calibri"/>
        </w:rPr>
        <w:t xml:space="preserve"> Fireworks</w:t>
      </w:r>
      <w:commentRangeEnd w:id="3"/>
      <w:r w:rsidR="004E65DF">
        <w:rPr>
          <w:rStyle w:val="CommentReference"/>
          <w:rFonts w:ascii="Calibri" w:hAnsi="Calibri" w:cs="Calibri"/>
          <w:sz w:val="22"/>
          <w:szCs w:val="22"/>
        </w:rPr>
        <w:commentReference w:id="3"/>
      </w:r>
      <w:r>
        <w:rPr>
          <w:rFonts w:ascii="Calibri" w:hAnsi="Calibri" w:cs="Calibri"/>
        </w:rPr>
        <w:t xml:space="preserve"> - should never be sold to consumers or offered for sale in a traditional retail setting.</w:t>
      </w:r>
    </w:p>
    <w:p w14:paraId="46AF885C" w14:textId="3E64D1A7" w:rsidR="002B1EC4" w:rsidRDefault="00BD55E1">
      <w:pPr>
        <w:widowControl w:val="0"/>
        <w:numPr>
          <w:ilvl w:val="0"/>
          <w:numId w:val="1"/>
        </w:numPr>
        <w:spacing w:after="200" w:line="276" w:lineRule="auto"/>
        <w:rPr>
          <w:rFonts w:ascii="Calibri" w:hAnsi="Calibri" w:cs="Calibri"/>
        </w:rPr>
      </w:pPr>
      <w:r>
        <w:rPr>
          <w:rFonts w:ascii="Calibri" w:hAnsi="Calibri" w:cs="Calibri"/>
        </w:rPr>
        <w:t>UN0336, 1.4G</w:t>
      </w:r>
      <w:r w:rsidR="00545B1C">
        <w:rPr>
          <w:rFonts w:ascii="Calibri" w:hAnsi="Calibri" w:cs="Calibri"/>
        </w:rPr>
        <w:t xml:space="preserve"> or UN0337 1.4S</w:t>
      </w:r>
      <w:r w:rsidR="00F7396C" w:rsidRPr="00F7396C">
        <w:rPr>
          <w:rFonts w:ascii="Calibri" w:hAnsi="Calibri" w:cs="Calibri"/>
        </w:rPr>
        <w:t xml:space="preserve"> </w:t>
      </w:r>
      <w:r w:rsidRPr="00E12ABF">
        <w:rPr>
          <w:rFonts w:ascii="Calibri" w:hAnsi="Calibri" w:cs="Calibri"/>
        </w:rPr>
        <w:t xml:space="preserve">Fireworks </w:t>
      </w:r>
      <w:r w:rsidR="0081160D" w:rsidRPr="00E12ABF">
        <w:rPr>
          <w:rFonts w:ascii="Calibri" w:hAnsi="Calibri" w:cs="Calibri"/>
        </w:rPr>
        <w:t xml:space="preserve">– </w:t>
      </w:r>
      <w:r w:rsidR="007B30E9" w:rsidRPr="00E12ABF">
        <w:rPr>
          <w:rFonts w:ascii="Calibri" w:hAnsi="Calibri" w:cs="Calibri"/>
        </w:rPr>
        <w:t>Consumer</w:t>
      </w:r>
      <w:r w:rsidR="0081160D">
        <w:rPr>
          <w:rFonts w:ascii="Calibri" w:hAnsi="Calibri" w:cs="Calibri"/>
        </w:rPr>
        <w:t xml:space="preserve"> i</w:t>
      </w:r>
      <w:r w:rsidRPr="00E12ABF">
        <w:rPr>
          <w:rFonts w:ascii="Calibri" w:hAnsi="Calibri" w:cs="Calibri"/>
        </w:rPr>
        <w:t>tems approved for sale</w:t>
      </w:r>
      <w:r w:rsidR="007B30E9" w:rsidRPr="00E12ABF">
        <w:rPr>
          <w:rFonts w:ascii="Calibri" w:hAnsi="Calibri" w:cs="Calibri"/>
        </w:rPr>
        <w:t xml:space="preserve"> by the U.S. Consumer Product Safety Commission (CPSC)</w:t>
      </w:r>
      <w:r w:rsidRPr="00E12ABF">
        <w:rPr>
          <w:rFonts w:ascii="Calibri" w:hAnsi="Calibri" w:cs="Calibri"/>
        </w:rPr>
        <w:t xml:space="preserve"> </w:t>
      </w:r>
      <w:r>
        <w:rPr>
          <w:rFonts w:ascii="Calibri" w:hAnsi="Calibri" w:cs="Calibri"/>
        </w:rPr>
        <w:t>to consumers in a traditional retail setting.</w:t>
      </w:r>
    </w:p>
    <w:p w14:paraId="7635C643" w14:textId="0DB537AA" w:rsidR="002B1EC4" w:rsidRPr="00443125" w:rsidRDefault="00BD55E1">
      <w:pPr>
        <w:widowControl w:val="0"/>
        <w:spacing w:after="200" w:line="276" w:lineRule="auto"/>
        <w:rPr>
          <w:rFonts w:ascii="Calibri" w:hAnsi="Calibri" w:cs="Calibri"/>
          <w:sz w:val="24"/>
          <w:szCs w:val="24"/>
        </w:rPr>
      </w:pPr>
      <w:r w:rsidRPr="00443125">
        <w:rPr>
          <w:rFonts w:ascii="Calibri" w:hAnsi="Calibri" w:cs="Calibri"/>
          <w:sz w:val="24"/>
          <w:szCs w:val="24"/>
        </w:rPr>
        <w:t>Section 3 – Labeling and Terms</w:t>
      </w:r>
    </w:p>
    <w:p w14:paraId="0803DEFF" w14:textId="3CCBDA18" w:rsidR="002B1EC4" w:rsidRDefault="00BD55E1">
      <w:pPr>
        <w:widowControl w:val="0"/>
        <w:spacing w:after="200" w:line="276" w:lineRule="auto"/>
        <w:rPr>
          <w:rFonts w:ascii="Calibri" w:hAnsi="Calibri" w:cs="Calibri"/>
        </w:rPr>
      </w:pPr>
      <w:r>
        <w:rPr>
          <w:rFonts w:ascii="Calibri" w:hAnsi="Calibri" w:cs="Calibri"/>
        </w:rPr>
        <w:t>Perhaps the quickest and easiest way to make proper identification of Consumer Fireworks v</w:t>
      </w:r>
      <w:r w:rsidRPr="00E12ABF">
        <w:rPr>
          <w:rFonts w:ascii="Calibri" w:hAnsi="Calibri" w:cs="Calibri"/>
        </w:rPr>
        <w:t xml:space="preserve">ersus </w:t>
      </w:r>
      <w:r>
        <w:rPr>
          <w:rFonts w:ascii="Calibri" w:hAnsi="Calibri" w:cs="Calibri"/>
        </w:rPr>
        <w:t>Professional Use Only</w:t>
      </w:r>
      <w:r w:rsidR="001A5025">
        <w:rPr>
          <w:rFonts w:ascii="Calibri" w:hAnsi="Calibri" w:cs="Calibri"/>
        </w:rPr>
        <w:t xml:space="preserve"> </w:t>
      </w:r>
      <w:r w:rsidR="001A5025" w:rsidRPr="00E12ABF">
        <w:rPr>
          <w:rFonts w:ascii="Calibri" w:hAnsi="Calibri" w:cs="Calibri"/>
        </w:rPr>
        <w:t>Fireworks</w:t>
      </w:r>
      <w:r>
        <w:rPr>
          <w:rFonts w:ascii="Calibri" w:hAnsi="Calibri" w:cs="Calibri"/>
        </w:rPr>
        <w:t xml:space="preserve"> and Articles Pyrotechnic is by identifying the warning labels on the product. These differ between the various products.</w:t>
      </w:r>
    </w:p>
    <w:p w14:paraId="52610409" w14:textId="58607CC4" w:rsidR="002B1EC4" w:rsidRDefault="00BD55E1">
      <w:pPr>
        <w:widowControl w:val="0"/>
        <w:spacing w:after="200" w:line="276" w:lineRule="auto"/>
        <w:rPr>
          <w:rFonts w:ascii="Calibri" w:hAnsi="Calibri" w:cs="Calibri"/>
        </w:rPr>
      </w:pPr>
      <w:r>
        <w:rPr>
          <w:rFonts w:ascii="Calibri" w:hAnsi="Calibri" w:cs="Calibri"/>
        </w:rPr>
        <w:t>For Consumer Fireworks, all warning labels must be easily identifiable and stand out from</w:t>
      </w:r>
      <w:r w:rsidR="00E12ABF">
        <w:rPr>
          <w:rFonts w:ascii="Calibri" w:hAnsi="Calibri" w:cs="Calibri"/>
        </w:rPr>
        <w:t xml:space="preserve"> and </w:t>
      </w:r>
      <w:r>
        <w:rPr>
          <w:rFonts w:ascii="Calibri" w:hAnsi="Calibri" w:cs="Calibri"/>
        </w:rPr>
        <w:t>be in contrast to the package labelling</w:t>
      </w:r>
      <w:r>
        <w:rPr>
          <w:rStyle w:val="FootnoteReference"/>
          <w:rFonts w:ascii="Calibri" w:hAnsi="Calibri" w:cs="Calibri"/>
        </w:rPr>
        <w:footnoteReference w:id="1"/>
      </w:r>
      <w:r>
        <w:rPr>
          <w:rFonts w:ascii="Calibri" w:hAnsi="Calibri" w:cs="Calibri"/>
        </w:rPr>
        <w:t>. A full detailed warning is required on one side of the package. Each of the other sides of the package where the name is present must have a brief warning concluding with “</w:t>
      </w:r>
      <w:r w:rsidRPr="00E12ABF">
        <w:rPr>
          <w:rFonts w:ascii="Calibri" w:hAnsi="Calibri" w:cs="Calibri"/>
          <w:i/>
          <w:iCs/>
        </w:rPr>
        <w:t>Carefully read other warning on other side</w:t>
      </w:r>
      <w:r>
        <w:rPr>
          <w:rFonts w:ascii="Calibri" w:hAnsi="Calibri" w:cs="Calibri"/>
        </w:rPr>
        <w:t>” will appear. Examples of these are as follows:</w:t>
      </w:r>
    </w:p>
    <w:p w14:paraId="6EE4ACF3" w14:textId="77777777" w:rsidR="002B1EC4" w:rsidRDefault="00BD55E1">
      <w:pPr>
        <w:widowControl w:val="0"/>
        <w:spacing w:after="200" w:line="276" w:lineRule="auto"/>
        <w:ind w:firstLine="720"/>
        <w:rPr>
          <w:rFonts w:ascii="Calibri" w:hAnsi="Calibri" w:cs="Calibri"/>
        </w:rPr>
      </w:pPr>
      <w:r>
        <w:rPr>
          <w:rFonts w:ascii="Calibri" w:hAnsi="Calibri" w:cs="Calibri"/>
          <w:noProof/>
        </w:rPr>
        <w:drawing>
          <wp:inline distT="0" distB="0" distL="0" distR="0" wp14:anchorId="51BF2400" wp14:editId="2CD4E91F">
            <wp:extent cx="2800350" cy="1742739"/>
            <wp:effectExtent l="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a:srcRect/>
                    <a:stretch>
                      <a:fillRect/>
                    </a:stretch>
                  </pic:blipFill>
                  <pic:spPr>
                    <a:xfrm>
                      <a:off x="0" y="0"/>
                      <a:ext cx="2800350" cy="1742739"/>
                    </a:xfrm>
                    <a:prstGeom prst="rect">
                      <a:avLst/>
                    </a:prstGeom>
                  </pic:spPr>
                </pic:pic>
              </a:graphicData>
            </a:graphic>
          </wp:inline>
        </w:drawing>
      </w:r>
      <w:r>
        <w:rPr>
          <w:rFonts w:ascii="Calibri" w:hAnsi="Calibri" w:cs="Calibri"/>
        </w:rPr>
        <w:tab/>
      </w:r>
      <w:r>
        <w:rPr>
          <w:rFonts w:ascii="Calibri" w:hAnsi="Calibri" w:cs="Calibri"/>
          <w:noProof/>
        </w:rPr>
        <w:drawing>
          <wp:inline distT="0" distB="0" distL="0" distR="0" wp14:anchorId="7F000AEC" wp14:editId="3FAFF692">
            <wp:extent cx="2705100" cy="415880"/>
            <wp:effectExtent l="0" t="0" r="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3"/>
                    <a:srcRect/>
                    <a:stretch>
                      <a:fillRect/>
                    </a:stretch>
                  </pic:blipFill>
                  <pic:spPr>
                    <a:xfrm>
                      <a:off x="0" y="0"/>
                      <a:ext cx="2705100" cy="415880"/>
                    </a:xfrm>
                    <a:prstGeom prst="rect">
                      <a:avLst/>
                    </a:prstGeom>
                  </pic:spPr>
                </pic:pic>
              </a:graphicData>
            </a:graphic>
          </wp:inline>
        </w:drawing>
      </w:r>
    </w:p>
    <w:p w14:paraId="55CBE4C1" w14:textId="567269CA" w:rsidR="002B1EC4" w:rsidRDefault="00BD55E1">
      <w:pPr>
        <w:widowControl w:val="0"/>
        <w:spacing w:after="200" w:line="276" w:lineRule="auto"/>
        <w:ind w:left="720"/>
        <w:rPr>
          <w:rFonts w:ascii="Calibri" w:hAnsi="Calibri" w:cs="Calibri"/>
        </w:rPr>
      </w:pPr>
      <w:r w:rsidRPr="00E12ABF">
        <w:rPr>
          <w:rFonts w:ascii="Calibri" w:hAnsi="Calibri" w:cs="Calibri"/>
          <w:b/>
          <w:bCs/>
        </w:rPr>
        <w:t xml:space="preserve">Detailed Warning – </w:t>
      </w:r>
      <w:r w:rsidR="000845F0" w:rsidRPr="00E12ABF">
        <w:rPr>
          <w:rFonts w:ascii="Calibri" w:hAnsi="Calibri" w:cs="Calibri"/>
          <w:b/>
          <w:bCs/>
        </w:rPr>
        <w:t>Consumer Fireworks</w:t>
      </w:r>
      <w:r>
        <w:rPr>
          <w:rFonts w:ascii="Calibri" w:hAnsi="Calibri" w:cs="Calibri"/>
        </w:rPr>
        <w:tab/>
      </w:r>
      <w:r>
        <w:rPr>
          <w:rFonts w:ascii="Calibri" w:hAnsi="Calibri" w:cs="Calibri"/>
        </w:rPr>
        <w:tab/>
      </w:r>
      <w:r w:rsidRPr="00E12ABF">
        <w:rPr>
          <w:rFonts w:ascii="Calibri" w:hAnsi="Calibri" w:cs="Calibri"/>
          <w:b/>
          <w:bCs/>
        </w:rPr>
        <w:t xml:space="preserve">Brief Warning – </w:t>
      </w:r>
      <w:r w:rsidR="000845F0" w:rsidRPr="00E12ABF">
        <w:rPr>
          <w:rFonts w:ascii="Calibri" w:hAnsi="Calibri" w:cs="Calibri"/>
          <w:b/>
          <w:bCs/>
        </w:rPr>
        <w:t>Consumer Fireworks</w:t>
      </w:r>
    </w:p>
    <w:p w14:paraId="0A13B155" w14:textId="77777777" w:rsidR="002B1EC4" w:rsidRDefault="00BD55E1">
      <w:pPr>
        <w:widowControl w:val="0"/>
        <w:spacing w:after="200" w:line="276" w:lineRule="auto"/>
        <w:ind w:firstLine="720"/>
        <w:rPr>
          <w:rFonts w:ascii="Calibri" w:hAnsi="Calibri" w:cs="Calibri"/>
        </w:rPr>
      </w:pPr>
      <w:r>
        <w:rPr>
          <w:rFonts w:ascii="Calibri" w:hAnsi="Calibri" w:cs="Calibri"/>
          <w:noProof/>
        </w:rPr>
        <w:lastRenderedPageBreak/>
        <w:drawing>
          <wp:inline distT="0" distB="0" distL="0" distR="0" wp14:anchorId="5C931C2C" wp14:editId="12ACBBB9">
            <wp:extent cx="2743200" cy="1749552"/>
            <wp:effectExtent l="0" t="0" r="0" b="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4"/>
                    <a:srcRect/>
                    <a:stretch>
                      <a:fillRect/>
                    </a:stretch>
                  </pic:blipFill>
                  <pic:spPr>
                    <a:xfrm>
                      <a:off x="0" y="0"/>
                      <a:ext cx="2743200" cy="1749552"/>
                    </a:xfrm>
                    <a:prstGeom prst="rect">
                      <a:avLst/>
                    </a:prstGeom>
                  </pic:spPr>
                </pic:pic>
              </a:graphicData>
            </a:graphic>
          </wp:inline>
        </w:drawing>
      </w:r>
      <w:r>
        <w:rPr>
          <w:rFonts w:ascii="Calibri" w:hAnsi="Calibri" w:cs="Calibri"/>
        </w:rPr>
        <w:tab/>
      </w:r>
      <w:r>
        <w:rPr>
          <w:rFonts w:ascii="Calibri" w:hAnsi="Calibri" w:cs="Calibri"/>
          <w:noProof/>
        </w:rPr>
        <w:drawing>
          <wp:inline distT="0" distB="0" distL="0" distR="0" wp14:anchorId="07AA65BA" wp14:editId="2F0D48EB">
            <wp:extent cx="2743200" cy="1664208"/>
            <wp:effectExtent l="0" t="0" r="0" b="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5"/>
                    <a:srcRect/>
                    <a:stretch>
                      <a:fillRect/>
                    </a:stretch>
                  </pic:blipFill>
                  <pic:spPr>
                    <a:xfrm>
                      <a:off x="0" y="0"/>
                      <a:ext cx="2743200" cy="1664208"/>
                    </a:xfrm>
                    <a:prstGeom prst="rect">
                      <a:avLst/>
                    </a:prstGeom>
                  </pic:spPr>
                </pic:pic>
              </a:graphicData>
            </a:graphic>
          </wp:inline>
        </w:drawing>
      </w:r>
    </w:p>
    <w:p w14:paraId="3086CEF7" w14:textId="276BE5EE" w:rsidR="002B1EC4" w:rsidRDefault="00BD55E1">
      <w:pPr>
        <w:widowControl w:val="0"/>
        <w:spacing w:after="200" w:line="276" w:lineRule="auto"/>
        <w:ind w:left="5760" w:hanging="5040"/>
        <w:rPr>
          <w:rFonts w:ascii="Calibri" w:hAnsi="Calibri" w:cs="Calibri"/>
        </w:rPr>
      </w:pPr>
      <w:r w:rsidRPr="00E12ABF">
        <w:rPr>
          <w:rFonts w:ascii="Calibri" w:hAnsi="Calibri" w:cs="Calibri"/>
          <w:b/>
          <w:bCs/>
        </w:rPr>
        <w:t xml:space="preserve">Detailed Warning – </w:t>
      </w:r>
      <w:bookmarkStart w:id="4" w:name="_Hlk132205352"/>
      <w:r w:rsidRPr="00E12ABF">
        <w:rPr>
          <w:rFonts w:ascii="Calibri" w:hAnsi="Calibri" w:cs="Calibri"/>
          <w:b/>
          <w:bCs/>
        </w:rPr>
        <w:t xml:space="preserve">Consumer </w:t>
      </w:r>
      <w:r w:rsidR="000845F0" w:rsidRPr="00E12ABF">
        <w:rPr>
          <w:rFonts w:ascii="Calibri" w:hAnsi="Calibri" w:cs="Calibri"/>
          <w:b/>
          <w:bCs/>
        </w:rPr>
        <w:t>F</w:t>
      </w:r>
      <w:r w:rsidRPr="00E12ABF">
        <w:rPr>
          <w:rFonts w:ascii="Calibri" w:hAnsi="Calibri" w:cs="Calibri"/>
          <w:b/>
          <w:bCs/>
        </w:rPr>
        <w:t>ireworks</w:t>
      </w:r>
      <w:bookmarkEnd w:id="4"/>
      <w:r>
        <w:rPr>
          <w:rFonts w:ascii="Calibri" w:hAnsi="Calibri" w:cs="Calibri"/>
        </w:rPr>
        <w:tab/>
      </w:r>
      <w:r w:rsidRPr="00E12ABF">
        <w:rPr>
          <w:rFonts w:ascii="Calibri" w:hAnsi="Calibri" w:cs="Calibri"/>
          <w:b/>
          <w:bCs/>
        </w:rPr>
        <w:t xml:space="preserve">Detailed Warning – Professional </w:t>
      </w:r>
      <w:r w:rsidR="000845F0" w:rsidRPr="00E12ABF">
        <w:rPr>
          <w:rFonts w:ascii="Calibri" w:hAnsi="Calibri" w:cs="Calibri"/>
          <w:b/>
          <w:bCs/>
        </w:rPr>
        <w:t>U</w:t>
      </w:r>
      <w:r w:rsidRPr="00E12ABF">
        <w:rPr>
          <w:rFonts w:ascii="Calibri" w:hAnsi="Calibri" w:cs="Calibri"/>
          <w:b/>
          <w:bCs/>
        </w:rPr>
        <w:t xml:space="preserve">se </w:t>
      </w:r>
      <w:r w:rsidR="000845F0" w:rsidRPr="00E12ABF">
        <w:rPr>
          <w:rFonts w:ascii="Calibri" w:hAnsi="Calibri" w:cs="Calibri"/>
          <w:b/>
          <w:bCs/>
        </w:rPr>
        <w:t>O</w:t>
      </w:r>
      <w:r w:rsidRPr="00E12ABF">
        <w:rPr>
          <w:rFonts w:ascii="Calibri" w:hAnsi="Calibri" w:cs="Calibri"/>
          <w:b/>
          <w:bCs/>
        </w:rPr>
        <w:t xml:space="preserve">nly </w:t>
      </w:r>
      <w:r w:rsidR="000845F0" w:rsidRPr="00E12ABF">
        <w:rPr>
          <w:rFonts w:ascii="Calibri" w:hAnsi="Calibri" w:cs="Calibri"/>
          <w:b/>
          <w:bCs/>
        </w:rPr>
        <w:t>F</w:t>
      </w:r>
      <w:r w:rsidRPr="00E12ABF">
        <w:rPr>
          <w:rFonts w:ascii="Calibri" w:hAnsi="Calibri" w:cs="Calibri"/>
          <w:b/>
          <w:bCs/>
        </w:rPr>
        <w:t>ireworks</w:t>
      </w:r>
    </w:p>
    <w:p w14:paraId="4ABAEA04" w14:textId="7160A1D1" w:rsidR="001A5025" w:rsidRDefault="00BD55E1">
      <w:pPr>
        <w:widowControl w:val="0"/>
        <w:spacing w:after="200" w:line="276" w:lineRule="auto"/>
        <w:rPr>
          <w:rFonts w:ascii="Calibri" w:hAnsi="Calibri" w:cs="Calibri"/>
        </w:rPr>
      </w:pPr>
      <w:r>
        <w:rPr>
          <w:rFonts w:ascii="Calibri" w:hAnsi="Calibri" w:cs="Calibri"/>
        </w:rPr>
        <w:t xml:space="preserve">The warnings will include a label with a signal word, either </w:t>
      </w:r>
      <w:r w:rsidRPr="00E12ABF">
        <w:rPr>
          <w:rFonts w:ascii="Calibri" w:hAnsi="Calibri" w:cs="Calibri"/>
          <w:i/>
          <w:iCs/>
        </w:rPr>
        <w:t>WARNING</w:t>
      </w:r>
      <w:r>
        <w:rPr>
          <w:rFonts w:ascii="Calibri" w:hAnsi="Calibri" w:cs="Calibri"/>
        </w:rPr>
        <w:t xml:space="preserve"> or </w:t>
      </w:r>
      <w:r w:rsidRPr="00E12ABF">
        <w:rPr>
          <w:rFonts w:ascii="Calibri" w:hAnsi="Calibri" w:cs="Calibri"/>
          <w:i/>
          <w:iCs/>
        </w:rPr>
        <w:t>CAUTION</w:t>
      </w:r>
      <w:r w:rsidR="004863D0">
        <w:rPr>
          <w:rFonts w:ascii="Calibri" w:hAnsi="Calibri" w:cs="Calibri"/>
        </w:rPr>
        <w:t>,</w:t>
      </w:r>
      <w:r>
        <w:rPr>
          <w:rFonts w:ascii="Calibri" w:hAnsi="Calibri" w:cs="Calibri"/>
        </w:rPr>
        <w:t xml:space="preserve"> and have strict guidelines regulated by the CPSC as to what they must </w:t>
      </w:r>
      <w:r w:rsidR="004863D0">
        <w:rPr>
          <w:rFonts w:ascii="Calibri" w:hAnsi="Calibri" w:cs="Calibri"/>
        </w:rPr>
        <w:t>contain. For</w:t>
      </w:r>
      <w:r>
        <w:rPr>
          <w:rFonts w:ascii="Calibri" w:hAnsi="Calibri" w:cs="Calibri"/>
        </w:rPr>
        <w:t xml:space="preserve"> Consumer Fireworks</w:t>
      </w:r>
      <w:r w:rsidR="00E12ABF">
        <w:rPr>
          <w:rFonts w:ascii="Calibri" w:hAnsi="Calibri" w:cs="Calibri"/>
        </w:rPr>
        <w:t>,</w:t>
      </w:r>
      <w:r>
        <w:rPr>
          <w:rFonts w:ascii="Calibri" w:hAnsi="Calibri" w:cs="Calibri"/>
        </w:rPr>
        <w:t xml:space="preserve"> the labels that start with the word “</w:t>
      </w:r>
      <w:r w:rsidRPr="00E12ABF">
        <w:rPr>
          <w:rFonts w:ascii="Calibri" w:hAnsi="Calibri" w:cs="Calibri"/>
          <w:i/>
          <w:iCs/>
        </w:rPr>
        <w:t>WARNING</w:t>
      </w:r>
      <w:r>
        <w:rPr>
          <w:rFonts w:ascii="Calibri" w:hAnsi="Calibri" w:cs="Calibri"/>
        </w:rPr>
        <w:t>” are placed on items where the fireworks effects or the item itself are airborne or eject stars or reports into the air. For reference, these items are considered to be more powerful or potentially more dangerous, thus they bear the wording of “</w:t>
      </w:r>
      <w:r w:rsidRPr="00E12ABF">
        <w:rPr>
          <w:rFonts w:ascii="Calibri" w:hAnsi="Calibri" w:cs="Calibri"/>
          <w:i/>
          <w:iCs/>
        </w:rPr>
        <w:t>WARNING</w:t>
      </w:r>
      <w:r>
        <w:rPr>
          <w:rFonts w:ascii="Calibri" w:hAnsi="Calibri" w:cs="Calibri"/>
        </w:rPr>
        <w:t xml:space="preserve">”.  </w:t>
      </w:r>
    </w:p>
    <w:p w14:paraId="3EBE9F57" w14:textId="4BB03920" w:rsidR="002B1EC4" w:rsidRDefault="00BD55E1">
      <w:pPr>
        <w:widowControl w:val="0"/>
        <w:spacing w:after="200" w:line="276" w:lineRule="auto"/>
        <w:rPr>
          <w:rFonts w:ascii="Calibri" w:hAnsi="Calibri" w:cs="Calibri"/>
        </w:rPr>
      </w:pPr>
      <w:r>
        <w:rPr>
          <w:rFonts w:ascii="Calibri" w:hAnsi="Calibri" w:cs="Calibri"/>
        </w:rPr>
        <w:t>Labels that start with the word “</w:t>
      </w:r>
      <w:r w:rsidRPr="00E12ABF">
        <w:rPr>
          <w:rFonts w:ascii="Calibri" w:hAnsi="Calibri" w:cs="Calibri"/>
          <w:i/>
          <w:iCs/>
        </w:rPr>
        <w:t>CAUTION</w:t>
      </w:r>
      <w:r>
        <w:rPr>
          <w:rFonts w:ascii="Calibri" w:hAnsi="Calibri" w:cs="Calibri"/>
        </w:rPr>
        <w:t xml:space="preserve">” do not leave the ground or eject reports or flaming balls into the air, emitting showers of sparks </w:t>
      </w:r>
      <w:r w:rsidR="004863D0">
        <w:rPr>
          <w:rFonts w:ascii="Calibri" w:hAnsi="Calibri" w:cs="Calibri"/>
        </w:rPr>
        <w:t>only. A</w:t>
      </w:r>
      <w:r>
        <w:rPr>
          <w:rFonts w:ascii="Calibri" w:hAnsi="Calibri" w:cs="Calibri"/>
        </w:rPr>
        <w:t xml:space="preserve"> statement describing the hazard(s) associated with the device, such as "</w:t>
      </w:r>
      <w:r w:rsidRPr="00E12ABF">
        <w:rPr>
          <w:rFonts w:ascii="Calibri" w:hAnsi="Calibri" w:cs="Calibri"/>
          <w:i/>
          <w:iCs/>
        </w:rPr>
        <w:t>SHOOTS FLAMING BALLS</w:t>
      </w:r>
      <w:r>
        <w:rPr>
          <w:rFonts w:ascii="Calibri" w:hAnsi="Calibri" w:cs="Calibri"/>
        </w:rPr>
        <w:t>" or "</w:t>
      </w:r>
      <w:r w:rsidRPr="00E12ABF">
        <w:rPr>
          <w:rFonts w:ascii="Calibri" w:hAnsi="Calibri" w:cs="Calibri"/>
          <w:i/>
          <w:iCs/>
        </w:rPr>
        <w:t>EMITS SHOWERS OR SPARKS</w:t>
      </w:r>
      <w:r>
        <w:rPr>
          <w:rFonts w:ascii="Calibri" w:hAnsi="Calibri" w:cs="Calibri"/>
        </w:rPr>
        <w:t xml:space="preserve">" will follow the </w:t>
      </w:r>
      <w:r w:rsidR="004863D0">
        <w:rPr>
          <w:rFonts w:ascii="Calibri" w:hAnsi="Calibri" w:cs="Calibri"/>
        </w:rPr>
        <w:t>words “</w:t>
      </w:r>
      <w:r w:rsidR="004863D0" w:rsidRPr="00E12ABF">
        <w:rPr>
          <w:rFonts w:ascii="Calibri" w:hAnsi="Calibri" w:cs="Calibri"/>
          <w:i/>
          <w:iCs/>
        </w:rPr>
        <w:t>WARNING</w:t>
      </w:r>
      <w:r>
        <w:rPr>
          <w:rFonts w:ascii="Calibri" w:hAnsi="Calibri" w:cs="Calibri"/>
        </w:rPr>
        <w:t>” and “</w:t>
      </w:r>
      <w:r w:rsidRPr="00E12ABF">
        <w:rPr>
          <w:rFonts w:ascii="Calibri" w:hAnsi="Calibri" w:cs="Calibri"/>
          <w:i/>
          <w:iCs/>
        </w:rPr>
        <w:t>CAUTION</w:t>
      </w:r>
      <w:r>
        <w:rPr>
          <w:rFonts w:ascii="Calibri" w:hAnsi="Calibri" w:cs="Calibri"/>
        </w:rPr>
        <w:t xml:space="preserve">”, </w:t>
      </w:r>
      <w:r w:rsidR="004863D0">
        <w:rPr>
          <w:rFonts w:ascii="Calibri" w:hAnsi="Calibri" w:cs="Calibri"/>
        </w:rPr>
        <w:t>respectively. Information</w:t>
      </w:r>
      <w:r>
        <w:rPr>
          <w:rFonts w:ascii="Calibri" w:hAnsi="Calibri" w:cs="Calibri"/>
        </w:rPr>
        <w:t xml:space="preserve"> describing further actions will </w:t>
      </w:r>
      <w:r w:rsidR="00221935">
        <w:rPr>
          <w:rFonts w:ascii="Calibri" w:hAnsi="Calibri" w:cs="Calibri"/>
        </w:rPr>
        <w:t>follow</w:t>
      </w:r>
      <w:r>
        <w:rPr>
          <w:rFonts w:ascii="Calibri" w:hAnsi="Calibri" w:cs="Calibri"/>
        </w:rPr>
        <w:t xml:space="preserve"> this and will include instructions on handling and using the device safely.</w:t>
      </w:r>
    </w:p>
    <w:p w14:paraId="31F39CA1" w14:textId="6785F41D" w:rsidR="002B1EC4" w:rsidRDefault="00D12379">
      <w:pPr>
        <w:widowControl w:val="0"/>
        <w:spacing w:after="200" w:line="276" w:lineRule="auto"/>
        <w:rPr>
          <w:rFonts w:ascii="Calibri" w:hAnsi="Calibri" w:cs="Calibri"/>
        </w:rPr>
      </w:pPr>
      <w:r>
        <w:rPr>
          <w:rFonts w:ascii="Calibri" w:hAnsi="Calibri" w:cs="Calibri"/>
          <w:noProof/>
        </w:rPr>
        <w:drawing>
          <wp:anchor distT="0" distB="0" distL="114300" distR="114300" simplePos="0" relativeHeight="251660288" behindDoc="0" locked="0" layoutInCell="1" allowOverlap="1" wp14:anchorId="1ADD4D04" wp14:editId="28303B13">
            <wp:simplePos x="0" y="0"/>
            <wp:positionH relativeFrom="column">
              <wp:posOffset>3057277</wp:posOffset>
            </wp:positionH>
            <wp:positionV relativeFrom="paragraph">
              <wp:posOffset>835329</wp:posOffset>
            </wp:positionV>
            <wp:extent cx="1709530" cy="2312894"/>
            <wp:effectExtent l="0" t="0" r="508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a:picLocks noChangeAspect="1"/>
                    </pic:cNvPicPr>
                  </pic:nvPicPr>
                  <pic:blipFill>
                    <a:blip r:embed="rId16"/>
                    <a:srcRect/>
                    <a:stretch>
                      <a:fillRect/>
                    </a:stretch>
                  </pic:blipFill>
                  <pic:spPr>
                    <a:xfrm>
                      <a:off x="0" y="0"/>
                      <a:ext cx="1717176" cy="2323239"/>
                    </a:xfrm>
                    <a:prstGeom prst="rect">
                      <a:avLst/>
                    </a:prstGeom>
                  </pic:spPr>
                </pic:pic>
              </a:graphicData>
            </a:graphic>
            <wp14:sizeRelH relativeFrom="margin">
              <wp14:pctWidth>0</wp14:pctWidth>
            </wp14:sizeRelH>
            <wp14:sizeRelV relativeFrom="margin">
              <wp14:pctHeight>0</wp14:pctHeight>
            </wp14:sizeRelV>
          </wp:anchor>
        </w:drawing>
      </w:r>
      <w:r w:rsidR="00BD55E1">
        <w:rPr>
          <w:rFonts w:ascii="Calibri" w:hAnsi="Calibri" w:cs="Calibri"/>
        </w:rPr>
        <w:t>The detailed warning for Professional Use Only</w:t>
      </w:r>
      <w:r w:rsidR="001A5025">
        <w:rPr>
          <w:rFonts w:ascii="Calibri" w:hAnsi="Calibri" w:cs="Calibri"/>
        </w:rPr>
        <w:t xml:space="preserve"> </w:t>
      </w:r>
      <w:r w:rsidR="001A5025" w:rsidRPr="00221935">
        <w:rPr>
          <w:rFonts w:ascii="Calibri" w:hAnsi="Calibri" w:cs="Calibri"/>
        </w:rPr>
        <w:t>Fireworks</w:t>
      </w:r>
      <w:r w:rsidR="00F7396C" w:rsidRPr="00F7396C">
        <w:rPr>
          <w:rFonts w:ascii="Calibri" w:hAnsi="Calibri" w:cs="Calibri"/>
        </w:rPr>
        <w:t xml:space="preserve"> </w:t>
      </w:r>
      <w:r w:rsidR="00F7396C">
        <w:rPr>
          <w:rFonts w:ascii="Calibri" w:hAnsi="Calibri" w:cs="Calibri"/>
        </w:rPr>
        <w:t>and Articles Pyrotechnics</w:t>
      </w:r>
      <w:r w:rsidR="00BD55E1">
        <w:rPr>
          <w:rFonts w:ascii="Calibri" w:hAnsi="Calibri" w:cs="Calibri"/>
        </w:rPr>
        <w:t xml:space="preserve"> </w:t>
      </w:r>
      <w:r w:rsidR="00DC65B4">
        <w:rPr>
          <w:rFonts w:ascii="Calibri" w:hAnsi="Calibri" w:cs="Calibri"/>
        </w:rPr>
        <w:t>differs</w:t>
      </w:r>
      <w:r w:rsidR="00BD55E1">
        <w:rPr>
          <w:rFonts w:ascii="Calibri" w:hAnsi="Calibri" w:cs="Calibri"/>
        </w:rPr>
        <w:t xml:space="preserve"> from those used for Consumer Fireworks. There is no regulated mandate as to what the </w:t>
      </w:r>
      <w:r w:rsidR="006E5EC5" w:rsidRPr="00221935">
        <w:rPr>
          <w:rFonts w:ascii="Calibri" w:hAnsi="Calibri" w:cs="Calibri"/>
        </w:rPr>
        <w:t xml:space="preserve">label for Fireworks </w:t>
      </w:r>
      <w:proofErr w:type="gramStart"/>
      <w:r w:rsidR="006E5EC5" w:rsidRPr="00221935">
        <w:rPr>
          <w:rFonts w:ascii="Calibri" w:hAnsi="Calibri" w:cs="Calibri"/>
        </w:rPr>
        <w:t>For</w:t>
      </w:r>
      <w:proofErr w:type="gramEnd"/>
      <w:r w:rsidR="006E5EC5" w:rsidRPr="00221935">
        <w:rPr>
          <w:rFonts w:ascii="Calibri" w:hAnsi="Calibri" w:cs="Calibri"/>
        </w:rPr>
        <w:t xml:space="preserve"> Professional Use Only</w:t>
      </w:r>
      <w:r w:rsidR="00F7396C" w:rsidRPr="00F7396C">
        <w:rPr>
          <w:rFonts w:ascii="Calibri" w:hAnsi="Calibri" w:cs="Calibri"/>
        </w:rPr>
        <w:t xml:space="preserve"> </w:t>
      </w:r>
      <w:r w:rsidR="00F7396C">
        <w:rPr>
          <w:rFonts w:ascii="Calibri" w:hAnsi="Calibri" w:cs="Calibri"/>
        </w:rPr>
        <w:t>and Articles Pyrotechnics</w:t>
      </w:r>
      <w:r w:rsidR="006E5EC5" w:rsidRPr="00221935">
        <w:rPr>
          <w:rFonts w:ascii="Calibri" w:hAnsi="Calibri" w:cs="Calibri"/>
        </w:rPr>
        <w:t xml:space="preserve"> </w:t>
      </w:r>
      <w:r w:rsidR="00BD55E1">
        <w:rPr>
          <w:rFonts w:ascii="Calibri" w:hAnsi="Calibri" w:cs="Calibri"/>
        </w:rPr>
        <w:t>must contain. However, in this example, you will note the language “</w:t>
      </w:r>
      <w:r w:rsidR="00BD55E1" w:rsidRPr="00221935">
        <w:rPr>
          <w:rFonts w:ascii="Calibri" w:hAnsi="Calibri" w:cs="Calibri"/>
          <w:i/>
          <w:iCs/>
        </w:rPr>
        <w:t>WARNING – For Professional Use Only</w:t>
      </w:r>
      <w:r w:rsidR="00BD55E1">
        <w:rPr>
          <w:rFonts w:ascii="Calibri" w:hAnsi="Calibri" w:cs="Calibri"/>
        </w:rPr>
        <w:t>”.  This must appear on all Professional Use Only</w:t>
      </w:r>
      <w:r w:rsidR="001A5025">
        <w:rPr>
          <w:rFonts w:ascii="Calibri" w:hAnsi="Calibri" w:cs="Calibri"/>
        </w:rPr>
        <w:t xml:space="preserve"> </w:t>
      </w:r>
      <w:r w:rsidR="001A5025" w:rsidRPr="00221935">
        <w:rPr>
          <w:rFonts w:ascii="Calibri" w:hAnsi="Calibri" w:cs="Calibri"/>
        </w:rPr>
        <w:t>Fireworks</w:t>
      </w:r>
      <w:r w:rsidR="00F7396C" w:rsidRPr="00F7396C">
        <w:rPr>
          <w:rFonts w:ascii="Calibri" w:hAnsi="Calibri" w:cs="Calibri"/>
        </w:rPr>
        <w:t xml:space="preserve"> </w:t>
      </w:r>
      <w:r w:rsidR="00F7396C">
        <w:rPr>
          <w:rFonts w:ascii="Calibri" w:hAnsi="Calibri" w:cs="Calibri"/>
        </w:rPr>
        <w:t>and Articles Pyrotechnics</w:t>
      </w:r>
      <w:r w:rsidR="00BD55E1" w:rsidRPr="00221935">
        <w:rPr>
          <w:rFonts w:ascii="Calibri" w:hAnsi="Calibri" w:cs="Calibri"/>
        </w:rPr>
        <w:t xml:space="preserve"> </w:t>
      </w:r>
      <w:r w:rsidR="00BD55E1">
        <w:rPr>
          <w:rFonts w:ascii="Calibri" w:hAnsi="Calibri" w:cs="Calibri"/>
        </w:rPr>
        <w:t>as exemplified in</w:t>
      </w:r>
      <w:r w:rsidR="001A5025">
        <w:rPr>
          <w:rFonts w:ascii="Calibri" w:hAnsi="Calibri" w:cs="Calibri"/>
        </w:rPr>
        <w:t xml:space="preserve"> </w:t>
      </w:r>
      <w:r w:rsidR="001A5025" w:rsidRPr="00221935">
        <w:rPr>
          <w:rFonts w:ascii="Calibri" w:hAnsi="Calibri" w:cs="Calibri"/>
        </w:rPr>
        <w:t>the</w:t>
      </w:r>
      <w:r w:rsidR="00BD55E1" w:rsidRPr="00221935">
        <w:rPr>
          <w:rFonts w:ascii="Calibri" w:hAnsi="Calibri" w:cs="Calibri"/>
        </w:rPr>
        <w:t xml:space="preserve"> images</w:t>
      </w:r>
      <w:r w:rsidR="001A5025" w:rsidRPr="00221935">
        <w:rPr>
          <w:rFonts w:ascii="Calibri" w:hAnsi="Calibri" w:cs="Calibri"/>
        </w:rPr>
        <w:t xml:space="preserve"> below</w:t>
      </w:r>
      <w:r w:rsidR="00BD55E1">
        <w:rPr>
          <w:rFonts w:ascii="Calibri" w:hAnsi="Calibri" w:cs="Calibri"/>
        </w:rPr>
        <w:t xml:space="preserve">. </w:t>
      </w:r>
    </w:p>
    <w:p w14:paraId="69CCA606" w14:textId="4872647D" w:rsidR="002B1EC4" w:rsidRDefault="00BD55E1">
      <w:pPr>
        <w:widowControl w:val="0"/>
        <w:spacing w:after="200" w:line="276" w:lineRule="auto"/>
        <w:rPr>
          <w:rFonts w:ascii="Calibri" w:hAnsi="Calibri" w:cs="Calibri"/>
        </w:rPr>
      </w:pPr>
      <w:r>
        <w:rPr>
          <w:rFonts w:ascii="Calibri" w:hAnsi="Calibri" w:cs="Calibri"/>
          <w:noProof/>
        </w:rPr>
        <w:drawing>
          <wp:inline distT="0" distB="0" distL="0" distR="0" wp14:anchorId="2BB329A0" wp14:editId="1350B931">
            <wp:extent cx="2743200" cy="1664208"/>
            <wp:effectExtent l="0" t="0" r="0" b="0"/>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7"/>
                    <pic:cNvPicPr/>
                  </pic:nvPicPr>
                  <pic:blipFill>
                    <a:blip r:embed="rId15"/>
                    <a:srcRect/>
                    <a:stretch>
                      <a:fillRect/>
                    </a:stretch>
                  </pic:blipFill>
                  <pic:spPr>
                    <a:xfrm>
                      <a:off x="0" y="0"/>
                      <a:ext cx="2743200" cy="1664208"/>
                    </a:xfrm>
                    <a:prstGeom prst="rect">
                      <a:avLst/>
                    </a:prstGeom>
                  </pic:spPr>
                </pic:pic>
              </a:graphicData>
            </a:graphic>
          </wp:inline>
        </w:drawing>
      </w:r>
      <w:r>
        <w:rPr>
          <w:rFonts w:ascii="Calibri" w:hAnsi="Calibri" w:cs="Calibri"/>
        </w:rPr>
        <w:t xml:space="preserve"> </w:t>
      </w:r>
    </w:p>
    <w:p w14:paraId="4328DA81" w14:textId="7F359FE2" w:rsidR="002B1EC4" w:rsidRPr="00443125" w:rsidRDefault="00BD55E1">
      <w:pPr>
        <w:widowControl w:val="0"/>
        <w:spacing w:after="200" w:line="276" w:lineRule="auto"/>
        <w:rPr>
          <w:rFonts w:ascii="Calibri" w:hAnsi="Calibri" w:cs="Calibri"/>
          <w:sz w:val="24"/>
          <w:szCs w:val="24"/>
        </w:rPr>
      </w:pPr>
      <w:r w:rsidRPr="00443125">
        <w:rPr>
          <w:rFonts w:ascii="Calibri" w:hAnsi="Calibri" w:cs="Calibri"/>
          <w:sz w:val="24"/>
          <w:szCs w:val="24"/>
        </w:rPr>
        <w:lastRenderedPageBreak/>
        <w:t xml:space="preserve">Section 4: Identifying consumer </w:t>
      </w:r>
      <w:r w:rsidR="00221935">
        <w:rPr>
          <w:rFonts w:ascii="Calibri" w:hAnsi="Calibri" w:cs="Calibri"/>
          <w:sz w:val="24"/>
          <w:szCs w:val="24"/>
        </w:rPr>
        <w:t>versus</w:t>
      </w:r>
      <w:r w:rsidRPr="00443125">
        <w:rPr>
          <w:rFonts w:ascii="Calibri" w:hAnsi="Calibri" w:cs="Calibri"/>
          <w:sz w:val="24"/>
          <w:szCs w:val="24"/>
        </w:rPr>
        <w:t xml:space="preserve"> non-consumer </w:t>
      </w:r>
      <w:r w:rsidR="005C47C2" w:rsidRPr="00221935">
        <w:rPr>
          <w:rFonts w:ascii="Calibri" w:hAnsi="Calibri" w:cs="Calibri"/>
          <w:sz w:val="24"/>
          <w:szCs w:val="24"/>
        </w:rPr>
        <w:t>devices</w:t>
      </w:r>
    </w:p>
    <w:p w14:paraId="115367AD" w14:textId="0F40AC48" w:rsidR="002B1EC4" w:rsidRDefault="00BD55E1">
      <w:pPr>
        <w:widowControl w:val="0"/>
        <w:spacing w:after="200" w:line="276" w:lineRule="auto"/>
        <w:rPr>
          <w:rFonts w:ascii="Calibri" w:hAnsi="Calibri" w:cs="Calibri"/>
        </w:rPr>
      </w:pPr>
      <w:r>
        <w:rPr>
          <w:rFonts w:ascii="Calibri" w:hAnsi="Calibri" w:cs="Calibri"/>
        </w:rPr>
        <w:t xml:space="preserve">Generally, consumer legal items will have a colorful label and product name with all the required text and markings listed above in Section 3.  However, companies can use a plain-looking wrapper on consumer legal items as </w:t>
      </w:r>
      <w:r w:rsidR="00221935">
        <w:rPr>
          <w:rFonts w:ascii="Calibri" w:hAnsi="Calibri" w:cs="Calibri"/>
        </w:rPr>
        <w:t xml:space="preserve">well, </w:t>
      </w:r>
      <w:r w:rsidR="00762DBB">
        <w:rPr>
          <w:rFonts w:ascii="Calibri" w:hAnsi="Calibri" w:cs="Calibri"/>
        </w:rPr>
        <w:t>if</w:t>
      </w:r>
      <w:r>
        <w:rPr>
          <w:rFonts w:ascii="Calibri" w:hAnsi="Calibri" w:cs="Calibri"/>
        </w:rPr>
        <w:t xml:space="preserve"> </w:t>
      </w:r>
      <w:r w:rsidR="00BF2BB6">
        <w:rPr>
          <w:rFonts w:ascii="Calibri" w:hAnsi="Calibri" w:cs="Calibri"/>
        </w:rPr>
        <w:t>all</w:t>
      </w:r>
      <w:r>
        <w:rPr>
          <w:rFonts w:ascii="Calibri" w:hAnsi="Calibri" w:cs="Calibri"/>
        </w:rPr>
        <w:t xml:space="preserve"> the 16 CFR </w:t>
      </w:r>
      <w:r w:rsidR="00BF2BB6">
        <w:rPr>
          <w:rFonts w:ascii="Calibri" w:hAnsi="Calibri" w:cs="Calibri"/>
        </w:rPr>
        <w:t xml:space="preserve">labeling </w:t>
      </w:r>
      <w:r>
        <w:rPr>
          <w:rFonts w:ascii="Calibri" w:hAnsi="Calibri" w:cs="Calibri"/>
        </w:rPr>
        <w:t>requirements are met. Professional Use Only</w:t>
      </w:r>
      <w:r w:rsidR="006E5EC5">
        <w:rPr>
          <w:rFonts w:ascii="Calibri" w:hAnsi="Calibri" w:cs="Calibri"/>
        </w:rPr>
        <w:t xml:space="preserve"> </w:t>
      </w:r>
      <w:r w:rsidR="006E5EC5" w:rsidRPr="00221935">
        <w:rPr>
          <w:rFonts w:ascii="Calibri" w:hAnsi="Calibri" w:cs="Calibri"/>
        </w:rPr>
        <w:t>Fireworks</w:t>
      </w:r>
      <w:r w:rsidR="00F7396C" w:rsidRPr="00F7396C">
        <w:rPr>
          <w:rFonts w:ascii="Calibri" w:hAnsi="Calibri" w:cs="Calibri"/>
        </w:rPr>
        <w:t xml:space="preserve"> </w:t>
      </w:r>
      <w:r w:rsidR="00F7396C">
        <w:rPr>
          <w:rFonts w:ascii="Calibri" w:hAnsi="Calibri" w:cs="Calibri"/>
        </w:rPr>
        <w:t>and Articles Pyrotechnic</w:t>
      </w:r>
      <w:r>
        <w:rPr>
          <w:rFonts w:ascii="Calibri" w:hAnsi="Calibri" w:cs="Calibri"/>
        </w:rPr>
        <w:t xml:space="preserve"> products will always have a single color plain looking wrapper, with the appropriate text as listed in Section 3 clearly identifying the item as “For Professional Use Only”</w:t>
      </w:r>
      <w:r w:rsidR="00F7396C" w:rsidRPr="00F7396C">
        <w:rPr>
          <w:rFonts w:ascii="Calibri" w:hAnsi="Calibri" w:cs="Calibri"/>
        </w:rPr>
        <w:t xml:space="preserve"> </w:t>
      </w:r>
      <w:r w:rsidR="00F7396C">
        <w:rPr>
          <w:rFonts w:ascii="Calibri" w:hAnsi="Calibri" w:cs="Calibri"/>
        </w:rPr>
        <w:t xml:space="preserve">or “For Professional Use” </w:t>
      </w:r>
      <w:r>
        <w:rPr>
          <w:rFonts w:ascii="Calibri" w:hAnsi="Calibri" w:cs="Calibri"/>
        </w:rPr>
        <w:t>product.</w:t>
      </w:r>
      <w:r w:rsidR="00F7396C">
        <w:rPr>
          <w:rFonts w:ascii="Calibri" w:hAnsi="Calibri" w:cs="Calibri"/>
        </w:rPr>
        <w:t xml:space="preserve"> </w:t>
      </w:r>
      <w:r w:rsidR="00BF2BB6">
        <w:rPr>
          <w:rFonts w:ascii="Calibri" w:hAnsi="Calibri" w:cs="Calibri"/>
        </w:rPr>
        <w:t>Sometimes</w:t>
      </w:r>
      <w:r w:rsidR="00DC65B4">
        <w:rPr>
          <w:rFonts w:ascii="Calibri" w:hAnsi="Calibri" w:cs="Calibri"/>
        </w:rPr>
        <w:t>,</w:t>
      </w:r>
      <w:r w:rsidR="00F7396C">
        <w:rPr>
          <w:rFonts w:ascii="Calibri" w:hAnsi="Calibri" w:cs="Calibri"/>
        </w:rPr>
        <w:t xml:space="preserve"> these items also provide further clarification such as “not offered for sale to the general public” and for “outdoor use only.”</w:t>
      </w:r>
    </w:p>
    <w:p w14:paraId="3C034E55" w14:textId="70D9017A" w:rsidR="002B1EC4" w:rsidRDefault="00BD55E1">
      <w:pPr>
        <w:widowControl w:val="0"/>
        <w:spacing w:after="200" w:line="240" w:lineRule="auto"/>
        <w:rPr>
          <w:rFonts w:ascii="Calibri" w:hAnsi="Calibri" w:cs="Calibri"/>
        </w:rPr>
      </w:pPr>
      <w:r>
        <w:rPr>
          <w:rFonts w:ascii="Calibri" w:hAnsi="Calibri" w:cs="Calibri"/>
          <w:noProof/>
        </w:rPr>
        <w:drawing>
          <wp:inline distT="0" distB="0" distL="0" distR="0" wp14:anchorId="58BBC108" wp14:editId="20785A5F">
            <wp:extent cx="2095500" cy="1221794"/>
            <wp:effectExtent l="0" t="0" r="0" b="0"/>
            <wp:docPr id="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7"/>
                    <a:srcRect/>
                    <a:stretch>
                      <a:fillRect/>
                    </a:stretch>
                  </pic:blipFill>
                  <pic:spPr>
                    <a:xfrm>
                      <a:off x="0" y="0"/>
                      <a:ext cx="2095500" cy="1221794"/>
                    </a:xfrm>
                    <a:prstGeom prst="rect">
                      <a:avLst/>
                    </a:prstGeom>
                  </pic:spPr>
                </pic:pic>
              </a:graphicData>
            </a:graphic>
          </wp:inline>
        </w:drawing>
      </w:r>
      <w:r>
        <w:rPr>
          <w:rFonts w:ascii="Calibri" w:hAnsi="Calibri" w:cs="Calibri"/>
        </w:rPr>
        <w:tab/>
      </w:r>
      <w:commentRangeStart w:id="5"/>
      <w:r>
        <w:rPr>
          <w:rFonts w:ascii="Calibri" w:hAnsi="Calibri" w:cs="Calibri"/>
          <w:noProof/>
        </w:rPr>
        <w:drawing>
          <wp:inline distT="0" distB="0" distL="0" distR="0" wp14:anchorId="4F015E64" wp14:editId="3D73C1C5">
            <wp:extent cx="2181225" cy="1657350"/>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8"/>
                    <a:srcRect/>
                    <a:stretch>
                      <a:fillRect/>
                    </a:stretch>
                  </pic:blipFill>
                  <pic:spPr>
                    <a:xfrm>
                      <a:off x="0" y="0"/>
                      <a:ext cx="2181225" cy="1657350"/>
                    </a:xfrm>
                    <a:prstGeom prst="rect">
                      <a:avLst/>
                    </a:prstGeom>
                    <a:noFill/>
                    <a:ln>
                      <a:noFill/>
                    </a:ln>
                  </pic:spPr>
                </pic:pic>
              </a:graphicData>
            </a:graphic>
          </wp:inline>
        </w:drawing>
      </w:r>
      <w:commentRangeEnd w:id="5"/>
      <w:r w:rsidR="001B22CA">
        <w:rPr>
          <w:rStyle w:val="CommentReference"/>
          <w:rFonts w:ascii="Calibri" w:hAnsi="Calibri" w:cs="Calibri"/>
          <w:sz w:val="22"/>
          <w:szCs w:val="22"/>
        </w:rPr>
        <w:commentReference w:id="5"/>
      </w:r>
      <w:r>
        <w:rPr>
          <w:rFonts w:ascii="Calibri" w:hAnsi="Calibri" w:cs="Calibri"/>
        </w:rPr>
        <w:tab/>
      </w:r>
      <w:r>
        <w:rPr>
          <w:rFonts w:ascii="Calibri" w:hAnsi="Calibri" w:cs="Calibri"/>
        </w:rPr>
        <w:tab/>
      </w:r>
      <w:r w:rsidR="00BB366B">
        <w:rPr>
          <w:noProof/>
          <w:sz w:val="16"/>
          <w:szCs w:val="16"/>
        </w:rPr>
        <w:drawing>
          <wp:inline distT="0" distB="0" distL="0" distR="0" wp14:anchorId="501A98A2" wp14:editId="77A85EE4">
            <wp:extent cx="1550504" cy="155050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9"/>
                    <a:stretch>
                      <a:fillRect/>
                    </a:stretch>
                  </pic:blipFill>
                  <pic:spPr>
                    <a:xfrm>
                      <a:off x="0" y="0"/>
                      <a:ext cx="1550504" cy="1550504"/>
                    </a:xfrm>
                    <a:prstGeom prst="rect">
                      <a:avLst/>
                    </a:prstGeom>
                  </pic:spPr>
                </pic:pic>
              </a:graphicData>
            </a:graphic>
          </wp:inline>
        </w:drawing>
      </w:r>
      <w:commentRangeStart w:id="6"/>
      <w:commentRangeEnd w:id="6"/>
      <w:r w:rsidR="001B22CA">
        <w:rPr>
          <w:rStyle w:val="CommentReference"/>
          <w:rFonts w:ascii="Calibri" w:hAnsi="Calibri" w:cs="Calibri"/>
          <w:sz w:val="22"/>
          <w:szCs w:val="22"/>
        </w:rPr>
        <w:commentReference w:id="6"/>
      </w:r>
    </w:p>
    <w:p w14:paraId="65E0DE68" w14:textId="46D45AA0" w:rsidR="002B1EC4" w:rsidRDefault="00173A7F" w:rsidP="00173A7F">
      <w:pPr>
        <w:widowControl w:val="0"/>
        <w:spacing w:after="200" w:line="240" w:lineRule="auto"/>
        <w:rPr>
          <w:rFonts w:ascii="Calibri" w:hAnsi="Calibri" w:cs="Calibri"/>
        </w:rPr>
      </w:pPr>
      <w:r>
        <w:rPr>
          <w:rFonts w:ascii="Calibri" w:hAnsi="Calibri" w:cs="Calibri"/>
        </w:rPr>
        <w:t xml:space="preserve">   </w:t>
      </w:r>
      <w:r w:rsidR="007F6455">
        <w:rPr>
          <w:rFonts w:ascii="Calibri" w:hAnsi="Calibri" w:cs="Calibri"/>
        </w:rPr>
        <w:t>1</w:t>
      </w:r>
      <w:r>
        <w:rPr>
          <w:rFonts w:ascii="Calibri" w:hAnsi="Calibri" w:cs="Calibri"/>
        </w:rPr>
        <w:t xml:space="preserve"> </w:t>
      </w:r>
      <w:r w:rsidR="00BD55E1">
        <w:rPr>
          <w:rFonts w:ascii="Calibri" w:hAnsi="Calibri" w:cs="Calibri"/>
        </w:rPr>
        <w:t xml:space="preserve">Consumer </w:t>
      </w:r>
      <w:r w:rsidR="006E5EC5">
        <w:rPr>
          <w:rFonts w:ascii="Calibri" w:hAnsi="Calibri" w:cs="Calibri"/>
        </w:rPr>
        <w:t xml:space="preserve">Firework </w:t>
      </w:r>
      <w:r w:rsidR="00BD55E1">
        <w:rPr>
          <w:rFonts w:ascii="Calibri" w:hAnsi="Calibri" w:cs="Calibri"/>
        </w:rPr>
        <w:t>-</w:t>
      </w:r>
      <w:r>
        <w:rPr>
          <w:rFonts w:ascii="Calibri" w:hAnsi="Calibri" w:cs="Calibri"/>
        </w:rPr>
        <w:t xml:space="preserve"> Cake</w:t>
      </w:r>
      <w:r w:rsidR="00BD55E1">
        <w:rPr>
          <w:rFonts w:ascii="Calibri" w:hAnsi="Calibri" w:cs="Calibri"/>
        </w:rPr>
        <w:tab/>
      </w:r>
      <w:r w:rsidR="00BD55E1">
        <w:rPr>
          <w:rFonts w:ascii="Calibri" w:hAnsi="Calibri" w:cs="Calibri"/>
        </w:rPr>
        <w:tab/>
      </w:r>
      <w:r>
        <w:rPr>
          <w:rFonts w:ascii="Calibri" w:hAnsi="Calibri" w:cs="Calibri"/>
        </w:rPr>
        <w:t xml:space="preserve"> </w:t>
      </w:r>
      <w:r w:rsidR="007F6455">
        <w:rPr>
          <w:rFonts w:ascii="Calibri" w:hAnsi="Calibri" w:cs="Calibri"/>
        </w:rPr>
        <w:t xml:space="preserve">2 </w:t>
      </w:r>
      <w:r w:rsidR="00BD55E1">
        <w:rPr>
          <w:rFonts w:ascii="Calibri" w:hAnsi="Calibri" w:cs="Calibri"/>
        </w:rPr>
        <w:t xml:space="preserve">Professional </w:t>
      </w:r>
      <w:r w:rsidR="00880275">
        <w:rPr>
          <w:rFonts w:ascii="Calibri" w:hAnsi="Calibri" w:cs="Calibri"/>
        </w:rPr>
        <w:t xml:space="preserve">Use </w:t>
      </w:r>
      <w:r w:rsidR="00BD55E1">
        <w:rPr>
          <w:rFonts w:ascii="Calibri" w:hAnsi="Calibri" w:cs="Calibri"/>
        </w:rPr>
        <w:t xml:space="preserve">Only </w:t>
      </w:r>
      <w:r w:rsidR="006E5EC5">
        <w:rPr>
          <w:rFonts w:ascii="Calibri" w:hAnsi="Calibri" w:cs="Calibri"/>
        </w:rPr>
        <w:t>F</w:t>
      </w:r>
      <w:r w:rsidR="00BD55E1">
        <w:rPr>
          <w:rFonts w:ascii="Calibri" w:hAnsi="Calibri" w:cs="Calibri"/>
        </w:rPr>
        <w:t>irework -</w:t>
      </w:r>
      <w:r>
        <w:rPr>
          <w:rFonts w:ascii="Calibri" w:hAnsi="Calibri" w:cs="Calibri"/>
        </w:rPr>
        <w:t xml:space="preserve"> Cake</w:t>
      </w:r>
      <w:r w:rsidR="00BD55E1">
        <w:rPr>
          <w:rFonts w:ascii="Calibri" w:hAnsi="Calibri" w:cs="Calibri"/>
        </w:rPr>
        <w:tab/>
      </w:r>
      <w:r w:rsidR="007F6455">
        <w:rPr>
          <w:rFonts w:ascii="Calibri" w:hAnsi="Calibri" w:cs="Calibri"/>
        </w:rPr>
        <w:t>3 Consumer</w:t>
      </w:r>
      <w:r w:rsidR="00BD55E1">
        <w:rPr>
          <w:rFonts w:ascii="Calibri" w:hAnsi="Calibri" w:cs="Calibri"/>
        </w:rPr>
        <w:t xml:space="preserve"> </w:t>
      </w:r>
      <w:r w:rsidR="006E5EC5">
        <w:rPr>
          <w:rFonts w:ascii="Calibri" w:hAnsi="Calibri" w:cs="Calibri"/>
        </w:rPr>
        <w:t xml:space="preserve">Firework </w:t>
      </w:r>
      <w:r w:rsidR="005C47C2">
        <w:rPr>
          <w:rFonts w:ascii="Calibri" w:hAnsi="Calibri" w:cs="Calibri"/>
        </w:rPr>
        <w:t>–</w:t>
      </w:r>
      <w:r w:rsidR="00BD55E1">
        <w:rPr>
          <w:rFonts w:ascii="Calibri" w:hAnsi="Calibri" w:cs="Calibri"/>
        </w:rPr>
        <w:t xml:space="preserve"> </w:t>
      </w:r>
      <w:r>
        <w:rPr>
          <w:rFonts w:ascii="Calibri" w:hAnsi="Calibri" w:cs="Calibri"/>
        </w:rPr>
        <w:t>Cake</w:t>
      </w:r>
    </w:p>
    <w:p w14:paraId="1D3A4B97" w14:textId="77777777" w:rsidR="003B5808" w:rsidRDefault="003B5808">
      <w:pPr>
        <w:widowControl w:val="0"/>
        <w:spacing w:after="200" w:line="276" w:lineRule="auto"/>
        <w:rPr>
          <w:rFonts w:ascii="Calibri" w:hAnsi="Calibri" w:cs="Calibri"/>
        </w:rPr>
      </w:pPr>
    </w:p>
    <w:p w14:paraId="267F7612" w14:textId="7E4B0BBA" w:rsidR="003B5808" w:rsidRDefault="003B5808">
      <w:pPr>
        <w:widowControl w:val="0"/>
        <w:spacing w:after="200" w:line="276" w:lineRule="auto"/>
        <w:rPr>
          <w:rFonts w:ascii="Calibri" w:hAnsi="Calibri" w:cs="Calibri"/>
        </w:rPr>
      </w:pPr>
      <w:r>
        <w:rPr>
          <w:rFonts w:ascii="Calibri" w:hAnsi="Calibri" w:cs="Calibri"/>
          <w:noProof/>
        </w:rPr>
        <w:drawing>
          <wp:anchor distT="0" distB="0" distL="114300" distR="114300" simplePos="0" relativeHeight="251658240" behindDoc="0" locked="0" layoutInCell="1" allowOverlap="1" wp14:anchorId="258D63E0" wp14:editId="4D449008">
            <wp:simplePos x="0" y="0"/>
            <wp:positionH relativeFrom="column">
              <wp:posOffset>4138654</wp:posOffset>
            </wp:positionH>
            <wp:positionV relativeFrom="paragraph">
              <wp:posOffset>8089</wp:posOffset>
            </wp:positionV>
            <wp:extent cx="1803414" cy="124835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0"/>
                    <a:stretch>
                      <a:fillRect/>
                    </a:stretch>
                  </pic:blipFill>
                  <pic:spPr>
                    <a:xfrm>
                      <a:off x="0" y="0"/>
                      <a:ext cx="1803414" cy="1248355"/>
                    </a:xfrm>
                    <a:prstGeom prst="rect">
                      <a:avLst/>
                    </a:prstGeom>
                  </pic:spPr>
                </pic:pic>
              </a:graphicData>
            </a:graphic>
            <wp14:sizeRelH relativeFrom="margin">
              <wp14:pctWidth>0</wp14:pctWidth>
            </wp14:sizeRelH>
            <wp14:sizeRelV relativeFrom="margin">
              <wp14:pctHeight>0</wp14:pctHeight>
            </wp14:sizeRelV>
          </wp:anchor>
        </w:drawing>
      </w:r>
      <w:r>
        <w:rPr>
          <w:rFonts w:ascii="Calibri" w:hAnsi="Calibri" w:cs="Calibri"/>
          <w:noProof/>
        </w:rPr>
        <w:drawing>
          <wp:anchor distT="0" distB="0" distL="114300" distR="114300" simplePos="0" relativeHeight="251659264" behindDoc="0" locked="0" layoutInCell="1" allowOverlap="1" wp14:anchorId="658CF7FF" wp14:editId="0CCC12DC">
            <wp:simplePos x="0" y="0"/>
            <wp:positionH relativeFrom="column">
              <wp:posOffset>592206</wp:posOffset>
            </wp:positionH>
            <wp:positionV relativeFrom="paragraph">
              <wp:posOffset>-23854</wp:posOffset>
            </wp:positionV>
            <wp:extent cx="3136900" cy="133540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1"/>
                    <a:stretch>
                      <a:fillRect/>
                    </a:stretch>
                  </pic:blipFill>
                  <pic:spPr>
                    <a:xfrm>
                      <a:off x="0" y="0"/>
                      <a:ext cx="3136900" cy="1335405"/>
                    </a:xfrm>
                    <a:prstGeom prst="rect">
                      <a:avLst/>
                    </a:prstGeom>
                  </pic:spPr>
                </pic:pic>
              </a:graphicData>
            </a:graphic>
            <wp14:sizeRelH relativeFrom="margin">
              <wp14:pctWidth>0</wp14:pctWidth>
            </wp14:sizeRelH>
            <wp14:sizeRelV relativeFrom="margin">
              <wp14:pctHeight>0</wp14:pctHeight>
            </wp14:sizeRelV>
          </wp:anchor>
        </w:drawing>
      </w:r>
    </w:p>
    <w:p w14:paraId="19624374" w14:textId="18024C58" w:rsidR="003B5808" w:rsidRDefault="003B5808">
      <w:pPr>
        <w:widowControl w:val="0"/>
        <w:spacing w:after="200" w:line="276" w:lineRule="auto"/>
        <w:rPr>
          <w:rFonts w:ascii="Calibri" w:hAnsi="Calibri" w:cs="Calibri"/>
        </w:rPr>
      </w:pPr>
    </w:p>
    <w:p w14:paraId="62CDD212" w14:textId="5B84F8BE" w:rsidR="003B5808" w:rsidRDefault="003B5808">
      <w:pPr>
        <w:widowControl w:val="0"/>
        <w:spacing w:after="200" w:line="276" w:lineRule="auto"/>
        <w:rPr>
          <w:rFonts w:ascii="Calibri" w:hAnsi="Calibri" w:cs="Calibri"/>
        </w:rPr>
      </w:pPr>
    </w:p>
    <w:p w14:paraId="787FC71E" w14:textId="2B22571E" w:rsidR="003B5808" w:rsidRDefault="003B5808">
      <w:pPr>
        <w:widowControl w:val="0"/>
        <w:spacing w:after="200" w:line="276" w:lineRule="auto"/>
        <w:rPr>
          <w:rFonts w:ascii="Calibri" w:hAnsi="Calibri" w:cs="Calibri"/>
        </w:rPr>
      </w:pPr>
    </w:p>
    <w:p w14:paraId="34E3E751" w14:textId="48A0FF6A" w:rsidR="003B5808" w:rsidRDefault="003B5808">
      <w:pPr>
        <w:widowControl w:val="0"/>
        <w:spacing w:after="200" w:line="276" w:lineRule="auto"/>
        <w:rPr>
          <w:rFonts w:ascii="Calibri" w:hAnsi="Calibri" w:cs="Calibri"/>
        </w:rPr>
      </w:pPr>
      <w:r>
        <w:rPr>
          <w:rFonts w:ascii="Calibri" w:hAnsi="Calibri" w:cs="Calibri"/>
        </w:rPr>
        <w:tab/>
      </w:r>
      <w:r>
        <w:rPr>
          <w:rFonts w:ascii="Calibri" w:hAnsi="Calibri" w:cs="Calibri"/>
        </w:rPr>
        <w:tab/>
      </w:r>
      <w:r w:rsidR="007F6455">
        <w:rPr>
          <w:rFonts w:ascii="Calibri" w:hAnsi="Calibri" w:cs="Calibri"/>
        </w:rPr>
        <w:t xml:space="preserve">4 </w:t>
      </w:r>
      <w:r>
        <w:rPr>
          <w:rFonts w:ascii="Calibri" w:hAnsi="Calibri" w:cs="Calibri"/>
        </w:rPr>
        <w:t>Professional Use Only Firework – Fan/Slice</w:t>
      </w:r>
      <w:r>
        <w:rPr>
          <w:rFonts w:ascii="Calibri" w:hAnsi="Calibri" w:cs="Calibri"/>
        </w:rPr>
        <w:tab/>
      </w:r>
      <w:r w:rsidR="007F6455">
        <w:rPr>
          <w:rFonts w:ascii="Calibri" w:hAnsi="Calibri" w:cs="Calibri"/>
        </w:rPr>
        <w:t xml:space="preserve">5 </w:t>
      </w:r>
      <w:r>
        <w:rPr>
          <w:rFonts w:ascii="Calibri" w:hAnsi="Calibri" w:cs="Calibri"/>
        </w:rPr>
        <w:t>Professional Use Only Firework – Compound Cake</w:t>
      </w:r>
    </w:p>
    <w:p w14:paraId="575574B9" w14:textId="77777777" w:rsidR="003B5808" w:rsidRDefault="003B5808">
      <w:pPr>
        <w:widowControl w:val="0"/>
        <w:spacing w:after="200" w:line="276" w:lineRule="auto"/>
        <w:rPr>
          <w:rFonts w:ascii="Calibri" w:hAnsi="Calibri" w:cs="Calibri"/>
        </w:rPr>
      </w:pPr>
    </w:p>
    <w:p w14:paraId="50F1403A" w14:textId="2A1A4CAC" w:rsidR="002B1EC4" w:rsidRDefault="00BD55E1">
      <w:pPr>
        <w:widowControl w:val="0"/>
        <w:spacing w:after="200" w:line="276" w:lineRule="auto"/>
        <w:rPr>
          <w:rFonts w:ascii="Calibri" w:hAnsi="Calibri" w:cs="Calibri"/>
        </w:rPr>
      </w:pPr>
      <w:r>
        <w:rPr>
          <w:rFonts w:ascii="Calibri" w:hAnsi="Calibri" w:cs="Calibri"/>
        </w:rPr>
        <w:t xml:space="preserve">The items pictured above are </w:t>
      </w:r>
      <w:r w:rsidR="00762DBB">
        <w:rPr>
          <w:rFonts w:ascii="Calibri" w:hAnsi="Calibri" w:cs="Calibri"/>
        </w:rPr>
        <w:t>examples</w:t>
      </w:r>
      <w:r>
        <w:rPr>
          <w:rFonts w:ascii="Calibri" w:hAnsi="Calibri" w:cs="Calibri"/>
        </w:rPr>
        <w:t xml:space="preserve"> of how not all items can necessarily be identified at a glance and be assumed to be Consumer Fireworks </w:t>
      </w:r>
      <w:r w:rsidR="00880275" w:rsidRPr="00221935">
        <w:rPr>
          <w:rFonts w:ascii="Calibri" w:hAnsi="Calibri" w:cs="Calibri"/>
        </w:rPr>
        <w:t>available</w:t>
      </w:r>
      <w:r w:rsidR="00880275" w:rsidRPr="00443125">
        <w:rPr>
          <w:rFonts w:ascii="Calibri" w:hAnsi="Calibri" w:cs="Calibri"/>
        </w:rPr>
        <w:t xml:space="preserve"> </w:t>
      </w:r>
      <w:r>
        <w:rPr>
          <w:rFonts w:ascii="Calibri" w:hAnsi="Calibri" w:cs="Calibri"/>
        </w:rPr>
        <w:t>for sale to the consumer general public.</w:t>
      </w:r>
      <w:r w:rsidR="00880275">
        <w:rPr>
          <w:rFonts w:ascii="Calibri" w:hAnsi="Calibri" w:cs="Calibri"/>
        </w:rPr>
        <w:t xml:space="preserve"> </w:t>
      </w:r>
      <w:r w:rsidR="005C47C2" w:rsidRPr="00221935">
        <w:rPr>
          <w:rFonts w:ascii="Calibri" w:hAnsi="Calibri" w:cs="Calibri"/>
        </w:rPr>
        <w:t xml:space="preserve">Typically, </w:t>
      </w:r>
      <w:r w:rsidR="00880275">
        <w:rPr>
          <w:rFonts w:ascii="Calibri" w:hAnsi="Calibri" w:cs="Calibri"/>
        </w:rPr>
        <w:t>Consumer</w:t>
      </w:r>
      <w:r>
        <w:rPr>
          <w:rFonts w:ascii="Calibri" w:hAnsi="Calibri" w:cs="Calibri"/>
        </w:rPr>
        <w:t xml:space="preserve"> Fireworks are in brightly colored labels with logos and other branding clearly visible and promoted (refer to the above picture </w:t>
      </w:r>
      <w:r w:rsidRPr="00221935">
        <w:rPr>
          <w:rFonts w:ascii="Calibri" w:hAnsi="Calibri" w:cs="Calibri"/>
        </w:rPr>
        <w:t>1</w:t>
      </w:r>
      <w:r w:rsidR="005C47C2">
        <w:rPr>
          <w:rFonts w:ascii="Calibri" w:hAnsi="Calibri" w:cs="Calibri"/>
        </w:rPr>
        <w:t xml:space="preserve">) </w:t>
      </w:r>
      <w:r w:rsidR="005C47C2" w:rsidRPr="00221935">
        <w:rPr>
          <w:rFonts w:ascii="Calibri" w:hAnsi="Calibri" w:cs="Calibri"/>
        </w:rPr>
        <w:t>or in the plain wrapper as seen in picture 3 noted above</w:t>
      </w:r>
      <w:r w:rsidRPr="00221935">
        <w:rPr>
          <w:rFonts w:ascii="Calibri" w:hAnsi="Calibri" w:cs="Calibri"/>
        </w:rPr>
        <w:t>.</w:t>
      </w:r>
      <w:r>
        <w:rPr>
          <w:rFonts w:ascii="Calibri" w:hAnsi="Calibri" w:cs="Calibri"/>
        </w:rPr>
        <w:t xml:space="preserve"> </w:t>
      </w:r>
    </w:p>
    <w:p w14:paraId="5239C49D" w14:textId="21E9BE0F" w:rsidR="002B1EC4" w:rsidRDefault="00BD55E1">
      <w:pPr>
        <w:widowControl w:val="0"/>
        <w:spacing w:after="200" w:line="276" w:lineRule="auto"/>
        <w:rPr>
          <w:rFonts w:ascii="Calibri" w:hAnsi="Calibri" w:cs="Calibri"/>
        </w:rPr>
      </w:pPr>
      <w:r>
        <w:rPr>
          <w:rFonts w:ascii="Calibri" w:hAnsi="Calibri" w:cs="Calibri"/>
        </w:rPr>
        <w:t>Professional Use Only</w:t>
      </w:r>
      <w:r w:rsidR="005C47C2">
        <w:rPr>
          <w:rFonts w:ascii="Calibri" w:hAnsi="Calibri" w:cs="Calibri"/>
        </w:rPr>
        <w:t xml:space="preserve"> </w:t>
      </w:r>
      <w:r w:rsidR="005C47C2" w:rsidRPr="00221935">
        <w:rPr>
          <w:rFonts w:ascii="Calibri" w:hAnsi="Calibri" w:cs="Calibri"/>
        </w:rPr>
        <w:t>Fireworks</w:t>
      </w:r>
      <w:r>
        <w:rPr>
          <w:rFonts w:ascii="Calibri" w:hAnsi="Calibri" w:cs="Calibri"/>
        </w:rPr>
        <w:t xml:space="preserve"> and Articles Pyrotechnic should not be decorated and come with different warnings on them (refer to the above picture 2</w:t>
      </w:r>
      <w:r w:rsidR="007F6455">
        <w:rPr>
          <w:rFonts w:ascii="Calibri" w:hAnsi="Calibri" w:cs="Calibri"/>
        </w:rPr>
        <w:t>,4,5</w:t>
      </w:r>
      <w:r>
        <w:rPr>
          <w:rFonts w:ascii="Calibri" w:hAnsi="Calibri" w:cs="Calibri"/>
        </w:rPr>
        <w:t xml:space="preserve">). </w:t>
      </w:r>
      <w:r w:rsidR="005C47C2" w:rsidRPr="00221935">
        <w:rPr>
          <w:rFonts w:ascii="Calibri" w:hAnsi="Calibri" w:cs="Calibri"/>
        </w:rPr>
        <w:t>Again, i</w:t>
      </w:r>
      <w:r>
        <w:rPr>
          <w:rFonts w:ascii="Calibri" w:hAnsi="Calibri" w:cs="Calibri"/>
        </w:rPr>
        <w:t xml:space="preserve">t is important to </w:t>
      </w:r>
      <w:r w:rsidR="00880275" w:rsidRPr="00443125">
        <w:rPr>
          <w:rFonts w:ascii="Calibri" w:hAnsi="Calibri" w:cs="Calibri"/>
        </w:rPr>
        <w:t xml:space="preserve">emphasize </w:t>
      </w:r>
      <w:r>
        <w:rPr>
          <w:rFonts w:ascii="Calibri" w:hAnsi="Calibri" w:cs="Calibri"/>
        </w:rPr>
        <w:t xml:space="preserve">that there are some Consumer Fireworks </w:t>
      </w:r>
      <w:r>
        <w:rPr>
          <w:rFonts w:ascii="Calibri" w:hAnsi="Calibri" w:cs="Calibri"/>
        </w:rPr>
        <w:lastRenderedPageBreak/>
        <w:t>that are packaged in plain, less colorful, wrappers as noted in the preceding paragraph</w:t>
      </w:r>
      <w:r w:rsidR="00880275" w:rsidRPr="00221935">
        <w:rPr>
          <w:rFonts w:ascii="Calibri" w:hAnsi="Calibri" w:cs="Calibri"/>
        </w:rPr>
        <w:t>s</w:t>
      </w:r>
      <w:r>
        <w:rPr>
          <w:rFonts w:ascii="Calibri" w:hAnsi="Calibri" w:cs="Calibri"/>
        </w:rPr>
        <w:t xml:space="preserve">. Therefore, proper identification </w:t>
      </w:r>
      <w:r w:rsidRPr="00F7396C">
        <w:rPr>
          <w:rFonts w:ascii="Calibri" w:hAnsi="Calibri" w:cs="Calibri"/>
          <w:b/>
          <w:bCs/>
        </w:rPr>
        <w:t>MUST</w:t>
      </w:r>
      <w:r>
        <w:rPr>
          <w:rFonts w:ascii="Calibri" w:hAnsi="Calibri" w:cs="Calibri"/>
        </w:rPr>
        <w:t xml:space="preserve"> revert to the </w:t>
      </w:r>
      <w:r w:rsidRPr="0033189A">
        <w:rPr>
          <w:rFonts w:ascii="Calibri" w:hAnsi="Calibri" w:cs="Calibri"/>
          <w:i/>
          <w:iCs/>
        </w:rPr>
        <w:t>WARNING</w:t>
      </w:r>
      <w:r>
        <w:rPr>
          <w:rFonts w:ascii="Calibri" w:hAnsi="Calibri" w:cs="Calibri"/>
        </w:rPr>
        <w:t xml:space="preserve"> label.  </w:t>
      </w:r>
    </w:p>
    <w:p w14:paraId="0D38A92F" w14:textId="65E9E966" w:rsidR="002B1EC4" w:rsidRPr="0033189A" w:rsidRDefault="007F6455">
      <w:pPr>
        <w:widowControl w:val="0"/>
        <w:spacing w:after="200" w:line="276" w:lineRule="auto"/>
        <w:rPr>
          <w:rFonts w:ascii="Calibri" w:hAnsi="Calibri" w:cs="Calibri"/>
        </w:rPr>
      </w:pPr>
      <w:r>
        <w:rPr>
          <w:rFonts w:ascii="Calibri" w:hAnsi="Calibri" w:cs="Calibri"/>
        </w:rPr>
        <w:t xml:space="preserve">Summarizing - </w:t>
      </w:r>
      <w:r w:rsidR="00BD55E1">
        <w:rPr>
          <w:rFonts w:ascii="Calibri" w:hAnsi="Calibri" w:cs="Calibri"/>
        </w:rPr>
        <w:t xml:space="preserve">The item on the left </w:t>
      </w:r>
      <w:r>
        <w:rPr>
          <w:rFonts w:ascii="Calibri" w:hAnsi="Calibri" w:cs="Calibri"/>
        </w:rPr>
        <w:t xml:space="preserve">bottom of page 4 </w:t>
      </w:r>
      <w:r w:rsidR="00BD55E1">
        <w:rPr>
          <w:rFonts w:ascii="Calibri" w:hAnsi="Calibri" w:cs="Calibri"/>
        </w:rPr>
        <w:t>is a UN0336, 1.4G Firework</w:t>
      </w:r>
      <w:r w:rsidR="0033189A">
        <w:rPr>
          <w:rFonts w:ascii="Calibri" w:hAnsi="Calibri" w:cs="Calibri"/>
        </w:rPr>
        <w:t xml:space="preserve"> (Consumer)</w:t>
      </w:r>
      <w:r w:rsidR="00BD55E1">
        <w:rPr>
          <w:rFonts w:ascii="Calibri" w:hAnsi="Calibri" w:cs="Calibri"/>
        </w:rPr>
        <w:t>. The center item</w:t>
      </w:r>
      <w:r>
        <w:rPr>
          <w:rFonts w:ascii="Calibri" w:hAnsi="Calibri" w:cs="Calibri"/>
        </w:rPr>
        <w:t xml:space="preserve"> (same page)</w:t>
      </w:r>
      <w:r w:rsidR="00BD55E1">
        <w:rPr>
          <w:rFonts w:ascii="Calibri" w:hAnsi="Calibri" w:cs="Calibri"/>
        </w:rPr>
        <w:t xml:space="preserve"> is a UN0431, 1.4G Articles Pyrotechnic. </w:t>
      </w:r>
      <w:r>
        <w:rPr>
          <w:rFonts w:ascii="Calibri" w:hAnsi="Calibri" w:cs="Calibri"/>
        </w:rPr>
        <w:t xml:space="preserve">Under prior </w:t>
      </w:r>
      <w:r w:rsidR="00BD55E1">
        <w:rPr>
          <w:rFonts w:ascii="Calibri" w:hAnsi="Calibri" w:cs="Calibri"/>
        </w:rPr>
        <w:t xml:space="preserve">transport classification </w:t>
      </w:r>
      <w:r>
        <w:rPr>
          <w:rFonts w:ascii="Calibri" w:hAnsi="Calibri" w:cs="Calibri"/>
        </w:rPr>
        <w:t xml:space="preserve">additions </w:t>
      </w:r>
      <w:r w:rsidR="00BD55E1">
        <w:rPr>
          <w:rFonts w:ascii="Calibri" w:hAnsi="Calibri" w:cs="Calibri"/>
        </w:rPr>
        <w:t xml:space="preserve">by PHMSA/DOT </w:t>
      </w:r>
      <w:r>
        <w:rPr>
          <w:rFonts w:ascii="Calibri" w:hAnsi="Calibri" w:cs="Calibri"/>
        </w:rPr>
        <w:t xml:space="preserve">similar type items could </w:t>
      </w:r>
      <w:r w:rsidR="00BD55E1">
        <w:rPr>
          <w:rFonts w:ascii="Calibri" w:hAnsi="Calibri" w:cs="Calibri"/>
        </w:rPr>
        <w:t xml:space="preserve">also be classified and labeled as UN0336 1.4G, </w:t>
      </w:r>
      <w:r>
        <w:rPr>
          <w:rFonts w:ascii="Calibri" w:hAnsi="Calibri" w:cs="Calibri"/>
        </w:rPr>
        <w:t xml:space="preserve">Fireworks – For </w:t>
      </w:r>
      <w:r w:rsidR="00BD55E1">
        <w:rPr>
          <w:rFonts w:ascii="Calibri" w:hAnsi="Calibri" w:cs="Calibri"/>
        </w:rPr>
        <w:t xml:space="preserve">Professional Use Only. Like the image on the </w:t>
      </w:r>
      <w:r>
        <w:rPr>
          <w:rFonts w:ascii="Calibri" w:hAnsi="Calibri" w:cs="Calibri"/>
        </w:rPr>
        <w:t>bottom left of page 4</w:t>
      </w:r>
      <w:r w:rsidR="00BD55E1">
        <w:rPr>
          <w:rFonts w:ascii="Calibri" w:hAnsi="Calibri" w:cs="Calibri"/>
        </w:rPr>
        <w:t xml:space="preserve">, the image on the </w:t>
      </w:r>
      <w:r>
        <w:rPr>
          <w:rFonts w:ascii="Calibri" w:hAnsi="Calibri" w:cs="Calibri"/>
        </w:rPr>
        <w:t>bottom right of page 4</w:t>
      </w:r>
      <w:r w:rsidR="00BD55E1">
        <w:rPr>
          <w:rFonts w:ascii="Calibri" w:hAnsi="Calibri" w:cs="Calibri"/>
        </w:rPr>
        <w:t xml:space="preserve"> is also a UN0336, 1.4G, Firework</w:t>
      </w:r>
      <w:r w:rsidR="0033189A">
        <w:rPr>
          <w:rFonts w:ascii="Calibri" w:hAnsi="Calibri" w:cs="Calibri"/>
        </w:rPr>
        <w:t xml:space="preserve"> (Consumer)</w:t>
      </w:r>
      <w:r w:rsidR="00BD55E1">
        <w:rPr>
          <w:rFonts w:ascii="Calibri" w:hAnsi="Calibri" w:cs="Calibri"/>
        </w:rPr>
        <w:t xml:space="preserve">. One can see that just a quick glance at a firework item is not necessarily enough to provide the business owner or AHJ with enough information. Rather, a more detailed inspection of the </w:t>
      </w:r>
      <w:r w:rsidR="00BD55E1" w:rsidRPr="0033189A">
        <w:rPr>
          <w:rFonts w:ascii="Calibri" w:hAnsi="Calibri" w:cs="Calibri"/>
          <w:i/>
          <w:iCs/>
        </w:rPr>
        <w:t>WARNING</w:t>
      </w:r>
      <w:r w:rsidR="00BD55E1">
        <w:rPr>
          <w:rFonts w:ascii="Calibri" w:hAnsi="Calibri" w:cs="Calibri"/>
        </w:rPr>
        <w:t xml:space="preserve"> and other labels </w:t>
      </w:r>
      <w:r w:rsidR="00BF2BB6">
        <w:rPr>
          <w:rFonts w:ascii="Calibri" w:hAnsi="Calibri" w:cs="Calibri"/>
        </w:rPr>
        <w:t xml:space="preserve">on the item </w:t>
      </w:r>
      <w:r w:rsidR="00BD55E1">
        <w:rPr>
          <w:rFonts w:ascii="Calibri" w:hAnsi="Calibri" w:cs="Calibri"/>
        </w:rPr>
        <w:t>is necessary</w:t>
      </w:r>
      <w:r w:rsidR="00BD55E1" w:rsidRPr="0033189A">
        <w:rPr>
          <w:rFonts w:ascii="Calibri" w:hAnsi="Calibri" w:cs="Calibri"/>
        </w:rPr>
        <w:t>.</w:t>
      </w:r>
    </w:p>
    <w:p w14:paraId="22D21BF0" w14:textId="374F1863" w:rsidR="00814ACD" w:rsidRPr="00443125" w:rsidRDefault="00814ACD">
      <w:pPr>
        <w:widowControl w:val="0"/>
        <w:spacing w:after="200" w:line="276" w:lineRule="auto"/>
        <w:rPr>
          <w:rFonts w:ascii="Calibri" w:hAnsi="Calibri" w:cs="Calibri"/>
          <w:sz w:val="24"/>
          <w:szCs w:val="24"/>
        </w:rPr>
      </w:pPr>
      <w:r w:rsidRPr="00443125">
        <w:rPr>
          <w:rFonts w:ascii="Calibri" w:hAnsi="Calibri" w:cs="Calibri"/>
          <w:sz w:val="24"/>
          <w:szCs w:val="24"/>
        </w:rPr>
        <w:t>Section 5: In Closing</w:t>
      </w:r>
    </w:p>
    <w:p w14:paraId="37FDC6EC" w14:textId="69EBE342" w:rsidR="004358E0" w:rsidRPr="0033189A" w:rsidRDefault="00F7396C">
      <w:pPr>
        <w:widowControl w:val="0"/>
        <w:spacing w:after="200" w:line="276" w:lineRule="auto"/>
        <w:rPr>
          <w:rFonts w:ascii="Calibri" w:hAnsi="Calibri" w:cs="Calibri"/>
        </w:rPr>
      </w:pPr>
      <w:r>
        <w:rPr>
          <w:rFonts w:ascii="Calibri" w:hAnsi="Calibri" w:cs="Calibri"/>
        </w:rPr>
        <w:t>W</w:t>
      </w:r>
      <w:r w:rsidR="004358E0" w:rsidRPr="0033189A">
        <w:rPr>
          <w:rFonts w:ascii="Calibri" w:hAnsi="Calibri" w:cs="Calibri"/>
        </w:rPr>
        <w:t>hether you are a consumer, business owner or the local AHJ, it is important to know what type of firework device</w:t>
      </w:r>
      <w:r w:rsidR="00BF2BB6">
        <w:rPr>
          <w:rFonts w:ascii="Calibri" w:hAnsi="Calibri" w:cs="Calibri"/>
        </w:rPr>
        <w:t>s</w:t>
      </w:r>
      <w:r w:rsidR="004358E0" w:rsidRPr="0033189A">
        <w:rPr>
          <w:rFonts w:ascii="Calibri" w:hAnsi="Calibri" w:cs="Calibri"/>
        </w:rPr>
        <w:t xml:space="preserve"> you are looking at. </w:t>
      </w:r>
      <w:r w:rsidR="00F113D9" w:rsidRPr="0033189A">
        <w:rPr>
          <w:rFonts w:ascii="Calibri" w:hAnsi="Calibri" w:cs="Calibri"/>
        </w:rPr>
        <w:t xml:space="preserve">Another reference text available is the American Fireworks Standards Laboratory </w:t>
      </w:r>
      <w:r w:rsidR="00F113D9" w:rsidRPr="0033189A">
        <w:rPr>
          <w:rFonts w:ascii="Calibri" w:hAnsi="Calibri" w:cs="Calibri"/>
          <w:i/>
          <w:iCs/>
        </w:rPr>
        <w:t xml:space="preserve">Standards </w:t>
      </w:r>
      <w:r w:rsidR="00F57130">
        <w:rPr>
          <w:rFonts w:ascii="Calibri" w:hAnsi="Calibri" w:cs="Calibri"/>
          <w:i/>
          <w:iCs/>
        </w:rPr>
        <w:t>f</w:t>
      </w:r>
      <w:r w:rsidR="00F113D9" w:rsidRPr="0033189A">
        <w:rPr>
          <w:rFonts w:ascii="Calibri" w:hAnsi="Calibri" w:cs="Calibri"/>
          <w:i/>
          <w:iCs/>
        </w:rPr>
        <w:t xml:space="preserve">or Consumer Fireworks </w:t>
      </w:r>
      <w:r w:rsidR="00F113D9" w:rsidRPr="0033189A">
        <w:rPr>
          <w:rFonts w:ascii="Calibri" w:hAnsi="Calibri" w:cs="Calibri"/>
        </w:rPr>
        <w:t xml:space="preserve">which contains (or exceeds) the specific 16 CFR requirements for the various types of Consumer </w:t>
      </w:r>
      <w:r w:rsidRPr="0033189A">
        <w:rPr>
          <w:rFonts w:ascii="Calibri" w:hAnsi="Calibri" w:cs="Calibri"/>
        </w:rPr>
        <w:t>Fireworks and</w:t>
      </w:r>
      <w:r w:rsidR="00F113D9" w:rsidRPr="0033189A">
        <w:rPr>
          <w:rFonts w:ascii="Calibri" w:hAnsi="Calibri" w:cs="Calibri"/>
        </w:rPr>
        <w:t xml:space="preserve"> shows examples of the specific labelling for each type of device.</w:t>
      </w:r>
    </w:p>
    <w:p w14:paraId="28F28ED2" w14:textId="0C732E0D" w:rsidR="00F113D9" w:rsidRPr="0033189A" w:rsidRDefault="00F113D9" w:rsidP="00F7396C">
      <w:pPr>
        <w:widowControl w:val="0"/>
        <w:spacing w:after="200" w:line="276" w:lineRule="auto"/>
        <w:rPr>
          <w:rFonts w:ascii="Calibri" w:hAnsi="Calibri" w:cs="Calibri"/>
        </w:rPr>
      </w:pPr>
    </w:p>
    <w:sectPr w:rsidR="00F113D9" w:rsidRPr="0033189A">
      <w:headerReference w:type="default" r:id="rId22"/>
      <w:footerReference w:type="default" r:id="rId23"/>
      <w:pgSz w:w="12240" w:h="15840"/>
      <w:pgMar w:top="720" w:right="720" w:bottom="720" w:left="72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Bryan Szajko" w:date="2026-01-07T13:12:00Z" w:initials="BS">
    <w:p w14:paraId="6461FA67" w14:textId="181011C8" w:rsidR="00A06899" w:rsidRDefault="00A06899">
      <w:pPr>
        <w:pStyle w:val="CommentText"/>
      </w:pPr>
      <w:r>
        <w:rPr>
          <w:rStyle w:val="CommentReference"/>
        </w:rPr>
        <w:annotationRef/>
      </w:r>
      <w:r>
        <w:t>Change to 2026</w:t>
      </w:r>
    </w:p>
  </w:comment>
  <w:comment w:id="1" w:author="Bryan Szajko" w:date="2024-03-18T15:02:00Z" w:initials="BS">
    <w:p w14:paraId="1760B797" w14:textId="5D8F44A9" w:rsidR="00F7250C" w:rsidRDefault="00F7250C">
      <w:pPr>
        <w:pStyle w:val="CommentText"/>
      </w:pPr>
      <w:r>
        <w:rPr>
          <w:rStyle w:val="CommentReference"/>
        </w:rPr>
        <w:annotationRef/>
      </w:r>
      <w:r>
        <w:t>Change to just “Changes”</w:t>
      </w:r>
    </w:p>
  </w:comment>
  <w:comment w:id="2" w:author="Bryan Szajko" w:date="2024-03-18T15:02:00Z" w:initials="BS">
    <w:p w14:paraId="641D2991" w14:textId="69EA96F6" w:rsidR="00F7250C" w:rsidRDefault="00F7250C">
      <w:pPr>
        <w:pStyle w:val="CommentText"/>
      </w:pPr>
      <w:r>
        <w:rPr>
          <w:rStyle w:val="CommentReference"/>
        </w:rPr>
        <w:annotationRef/>
      </w:r>
      <w:r>
        <w:t xml:space="preserve">Change to </w:t>
      </w:r>
      <w:r w:rsidRPr="00F57130">
        <w:rPr>
          <w:rFonts w:cstheme="minorHAnsi"/>
        </w:rPr>
        <w:t>“Professional</w:t>
      </w:r>
      <w:r>
        <w:rPr>
          <w:rFonts w:cstheme="minorHAnsi"/>
        </w:rPr>
        <w:t xml:space="preserve"> Use Only”</w:t>
      </w:r>
      <w:r w:rsidRPr="00F57130">
        <w:rPr>
          <w:rFonts w:cstheme="minorHAnsi"/>
        </w:rPr>
        <w:t xml:space="preserve"> and “Articles Pyrotechnic”</w:t>
      </w:r>
      <w:r>
        <w:rPr>
          <w:rFonts w:cstheme="minorHAnsi"/>
        </w:rPr>
        <w:t xml:space="preserve"> fireworks</w:t>
      </w:r>
    </w:p>
  </w:comment>
  <w:comment w:id="3" w:author="Bryan Szajko" w:date="2024-03-18T15:13:00Z" w:initials="BS">
    <w:p w14:paraId="5DA36878" w14:textId="3FD21231" w:rsidR="004E65DF" w:rsidRDefault="004E65DF">
      <w:pPr>
        <w:pStyle w:val="CommentText"/>
      </w:pPr>
      <w:r>
        <w:rPr>
          <w:rStyle w:val="CommentReference"/>
        </w:rPr>
        <w:annotationRef/>
      </w:r>
      <w:r>
        <w:t>Fireworks labelled as ‘For Professional Use Only’</w:t>
      </w:r>
    </w:p>
  </w:comment>
  <w:comment w:id="5" w:author="Bryan Szajko" w:date="2024-03-18T15:51:00Z" w:initials="BS">
    <w:p w14:paraId="6B6E95E1" w14:textId="68CEF157" w:rsidR="001B22CA" w:rsidRDefault="001B22CA">
      <w:pPr>
        <w:pStyle w:val="CommentText"/>
      </w:pPr>
      <w:r>
        <w:rPr>
          <w:rStyle w:val="CommentReference"/>
        </w:rPr>
        <w:annotationRef/>
      </w:r>
      <w:r>
        <w:t>Should we add a picture of a fan slice?  Or maybe other examples…</w:t>
      </w:r>
    </w:p>
  </w:comment>
  <w:comment w:id="6" w:author="Bryan Szajko" w:date="2024-03-18T15:48:00Z" w:initials="BS">
    <w:p w14:paraId="57EC92D6" w14:textId="1727C2F3" w:rsidR="001B22CA" w:rsidRDefault="001B22CA">
      <w:pPr>
        <w:pStyle w:val="CommentText"/>
      </w:pPr>
      <w:r>
        <w:rPr>
          <w:rStyle w:val="CommentReference"/>
        </w:rPr>
        <w:annotationRef/>
      </w:r>
      <w:r>
        <w:t>Keep this example or find a new one?  Not sure if the item is produced in wrapped this way anymore.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461FA67" w15:done="1"/>
  <w15:commentEx w15:paraId="1760B797" w15:done="1"/>
  <w15:commentEx w15:paraId="641D2991" w15:done="1"/>
  <w15:commentEx w15:paraId="5DA36878" w15:done="1"/>
  <w15:commentEx w15:paraId="6B6E95E1" w15:done="1"/>
  <w15:commentEx w15:paraId="57EC92D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08DA33" w16cex:dateUtc="2026-01-07T18:12:00Z"/>
  <w16cex:commentExtensible w16cex:durableId="29A2D5F4" w16cex:dateUtc="2024-03-18T19:02:00Z"/>
  <w16cex:commentExtensible w16cex:durableId="29A2D615" w16cex:dateUtc="2024-03-18T19:02:00Z"/>
  <w16cex:commentExtensible w16cex:durableId="29A2D89F" w16cex:dateUtc="2024-03-18T19:13:00Z"/>
  <w16cex:commentExtensible w16cex:durableId="29A2E184" w16cex:dateUtc="2024-03-18T19:51:00Z"/>
  <w16cex:commentExtensible w16cex:durableId="29A2E0D2" w16cex:dateUtc="2024-03-18T19: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461FA67" w16cid:durableId="2D08DA33"/>
  <w16cid:commentId w16cid:paraId="1760B797" w16cid:durableId="29A2D5F4"/>
  <w16cid:commentId w16cid:paraId="641D2991" w16cid:durableId="29A2D615"/>
  <w16cid:commentId w16cid:paraId="5DA36878" w16cid:durableId="29A2D89F"/>
  <w16cid:commentId w16cid:paraId="6B6E95E1" w16cid:durableId="29A2E184"/>
  <w16cid:commentId w16cid:paraId="57EC92D6" w16cid:durableId="29A2E0D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9A113" w14:textId="77777777" w:rsidR="00865FE8" w:rsidRDefault="00865FE8">
      <w:pPr>
        <w:spacing w:after="0" w:line="240" w:lineRule="auto"/>
      </w:pPr>
      <w:r>
        <w:separator/>
      </w:r>
    </w:p>
  </w:endnote>
  <w:endnote w:type="continuationSeparator" w:id="0">
    <w:p w14:paraId="6F7E8E7D" w14:textId="77777777" w:rsidR="00865FE8" w:rsidRDefault="00865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068BD" w14:textId="4F436CB3" w:rsidR="001C2313" w:rsidRPr="001C2313" w:rsidRDefault="001C2313" w:rsidP="001C2313">
    <w:pPr>
      <w:widowControl w:val="0"/>
      <w:spacing w:after="200" w:line="276" w:lineRule="auto"/>
      <w:rPr>
        <w:rFonts w:ascii="Calibri" w:hAnsi="Calibri" w:cs="Calibri"/>
        <w:sz w:val="16"/>
        <w:szCs w:val="16"/>
      </w:rPr>
    </w:pPr>
    <w:r w:rsidRPr="001C2313">
      <w:rPr>
        <w:rFonts w:cstheme="minorHAnsi"/>
        <w:sz w:val="16"/>
        <w:szCs w:val="16"/>
      </w:rPr>
      <w:t>©</w:t>
    </w:r>
    <w:r w:rsidRPr="001C2313">
      <w:rPr>
        <w:rFonts w:ascii="Calibri" w:hAnsi="Calibri" w:cs="Calibri"/>
        <w:sz w:val="16"/>
        <w:szCs w:val="16"/>
      </w:rPr>
      <w:t xml:space="preserve"> National Fireworks Association </w:t>
    </w:r>
    <w:r w:rsidRPr="001C2313">
      <w:rPr>
        <w:rFonts w:ascii="Calibri" w:hAnsi="Calibri" w:cs="Calibri"/>
        <w:sz w:val="16"/>
        <w:szCs w:val="16"/>
      </w:rPr>
      <w:fldChar w:fldCharType="begin"/>
    </w:r>
    <w:r w:rsidRPr="001C2313">
      <w:rPr>
        <w:rFonts w:ascii="Calibri" w:hAnsi="Calibri" w:cs="Calibri"/>
        <w:sz w:val="16"/>
        <w:szCs w:val="16"/>
      </w:rPr>
      <w:instrText xml:space="preserve"> DATE \@ "M/d/yy" </w:instrText>
    </w:r>
    <w:r w:rsidRPr="001C2313">
      <w:rPr>
        <w:rFonts w:ascii="Calibri" w:hAnsi="Calibri" w:cs="Calibri"/>
        <w:sz w:val="16"/>
        <w:szCs w:val="16"/>
      </w:rPr>
      <w:fldChar w:fldCharType="separate"/>
    </w:r>
    <w:r w:rsidR="00676C66">
      <w:rPr>
        <w:rFonts w:ascii="Calibri" w:hAnsi="Calibri" w:cs="Calibri"/>
        <w:noProof/>
        <w:sz w:val="16"/>
        <w:szCs w:val="16"/>
      </w:rPr>
      <w:t>3/24/26</w:t>
    </w:r>
    <w:r w:rsidRPr="001C2313">
      <w:rPr>
        <w:rFonts w:ascii="Calibri" w:hAnsi="Calibri" w:cs="Calibri"/>
        <w:sz w:val="16"/>
        <w:szCs w:val="16"/>
      </w:rPr>
      <w:fldChar w:fldCharType="end"/>
    </w:r>
  </w:p>
  <w:p w14:paraId="3D7B0DCE" w14:textId="29FEC359" w:rsidR="001C2313" w:rsidRDefault="001C2313">
    <w:pPr>
      <w:pStyle w:val="Footer"/>
    </w:pPr>
  </w:p>
  <w:p w14:paraId="42DBF694" w14:textId="77777777" w:rsidR="002B1EC4" w:rsidRDefault="002B1E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0CC46" w14:textId="77777777" w:rsidR="00865FE8" w:rsidRDefault="00865FE8">
      <w:pPr>
        <w:spacing w:after="0" w:line="240" w:lineRule="auto"/>
      </w:pPr>
      <w:r>
        <w:separator/>
      </w:r>
    </w:p>
  </w:footnote>
  <w:footnote w:type="continuationSeparator" w:id="0">
    <w:p w14:paraId="70A0F756" w14:textId="77777777" w:rsidR="00865FE8" w:rsidRDefault="00865FE8">
      <w:pPr>
        <w:spacing w:after="0" w:line="240" w:lineRule="auto"/>
      </w:pPr>
      <w:r>
        <w:continuationSeparator/>
      </w:r>
    </w:p>
  </w:footnote>
  <w:footnote w:id="1">
    <w:p w14:paraId="1061A3BA" w14:textId="77777777" w:rsidR="002B1EC4" w:rsidRPr="00443125" w:rsidRDefault="00BD55E1">
      <w:pPr>
        <w:widowControl w:val="0"/>
        <w:spacing w:after="200" w:line="276" w:lineRule="auto"/>
        <w:rPr>
          <w:rFonts w:ascii="Calibri" w:hAnsi="Calibri" w:cs="Calibri"/>
          <w:sz w:val="20"/>
          <w:szCs w:val="20"/>
        </w:rPr>
      </w:pPr>
      <w:r>
        <w:rPr>
          <w:rStyle w:val="FootnoteReference"/>
        </w:rPr>
        <w:footnoteRef/>
      </w:r>
      <w:r w:rsidRPr="00443125">
        <w:rPr>
          <w:sz w:val="20"/>
          <w:szCs w:val="20"/>
        </w:rPr>
        <w:t xml:space="preserve"> </w:t>
      </w:r>
      <w:r w:rsidRPr="00443125">
        <w:rPr>
          <w:rFonts w:ascii="Calibri" w:hAnsi="Calibri" w:cs="Calibri"/>
          <w:i/>
          <w:iCs/>
          <w:sz w:val="20"/>
          <w:szCs w:val="20"/>
        </w:rPr>
        <w:t>Per CPSC reference –the Federal Hazardous Substances Act (FHSA) is part of the Code of Federal Regulations (CFR).  Specifically referenced as 16 CFR Part 1500.  General requirements on warning label prominence, placement and conspicuousness can be found in 16 CFR Part 1500 section 121.  Fireworks specific requirements can be found in 16 CFR Parts 1500.14 and Part 1500.83(a)(27).</w:t>
      </w:r>
    </w:p>
    <w:p w14:paraId="0CD2D0A5" w14:textId="77777777" w:rsidR="002B1EC4" w:rsidRDefault="002B1EC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50716" w14:textId="40C76CDC" w:rsidR="002B1EC4" w:rsidRDefault="006E3D0E" w:rsidP="006E3D0E">
    <w:pPr>
      <w:pStyle w:val="Header"/>
      <w:jc w:val="center"/>
    </w:pPr>
    <w:r>
      <w:rPr>
        <w:noProof/>
      </w:rPr>
      <w:drawing>
        <wp:inline distT="0" distB="0" distL="0" distR="0" wp14:anchorId="3AA794F8" wp14:editId="2ECBB65D">
          <wp:extent cx="1222310" cy="1222310"/>
          <wp:effectExtent l="0" t="0" r="0" b="0"/>
          <wp:docPr id="680658934" name="Picture 1" descr="A logo with a bird and stars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658934" name="Picture 1" descr="A logo with a bird and stars on it&#10;&#10;AI-generated content may be incorrect."/>
                  <pic:cNvPicPr/>
                </pic:nvPicPr>
                <pic:blipFill>
                  <a:blip r:embed="rId1"/>
                  <a:stretch>
                    <a:fillRect/>
                  </a:stretch>
                </pic:blipFill>
                <pic:spPr>
                  <a:xfrm>
                    <a:off x="0" y="0"/>
                    <a:ext cx="1249255" cy="1249255"/>
                  </a:xfrm>
                  <a:prstGeom prst="rect">
                    <a:avLst/>
                  </a:prstGeom>
                </pic:spPr>
              </pic:pic>
            </a:graphicData>
          </a:graphic>
        </wp:inline>
      </w:drawing>
    </w:r>
    <w:r w:rsidR="00676C66">
      <w:pict w14:anchorId="0B5E80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left:0;text-align:left;margin-left:0;margin-top:0;width:50pt;height:50pt;z-index:251656704;visibility:hidden;mso-wrap-edited:f;mso-width-percent:0;mso-height-percent:0;mso-position-horizontal-relative:text;mso-position-vertical-relative:text;mso-width-percent:0;mso-height-percent:0" path="m,l21600,m,21600r21600,e">
          <v:path o:connectlocs="317500,0;317500,317500;317500,635000;317500,317500"/>
          <v:textpath on="f" fitshape="f"/>
          <o:lock v:ext="edit" selection="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C193E"/>
    <w:multiLevelType w:val="hybridMultilevel"/>
    <w:tmpl w:val="05B44582"/>
    <w:lvl w:ilvl="0" w:tplc="FFCA6E14">
      <w:start w:val="1"/>
      <w:numFmt w:val="decimal"/>
      <w:lvlText w:val="%1)"/>
      <w:lvlJc w:val="left"/>
      <w:pPr>
        <w:ind w:left="720" w:hanging="360"/>
      </w:pPr>
      <w:rPr>
        <w:rFonts w:hint="default"/>
      </w:rPr>
    </w:lvl>
    <w:lvl w:ilvl="1" w:tplc="9562731E" w:tentative="1">
      <w:start w:val="1"/>
      <w:numFmt w:val="lowerLetter"/>
      <w:lvlText w:val="%2."/>
      <w:lvlJc w:val="left"/>
      <w:pPr>
        <w:ind w:left="1440" w:hanging="360"/>
      </w:pPr>
    </w:lvl>
    <w:lvl w:ilvl="2" w:tplc="C262D41C" w:tentative="1">
      <w:start w:val="1"/>
      <w:numFmt w:val="lowerRoman"/>
      <w:lvlText w:val="%3."/>
      <w:lvlJc w:val="right"/>
      <w:pPr>
        <w:ind w:left="2160" w:hanging="180"/>
      </w:pPr>
    </w:lvl>
    <w:lvl w:ilvl="3" w:tplc="F2B47074" w:tentative="1">
      <w:start w:val="1"/>
      <w:numFmt w:val="decimal"/>
      <w:lvlText w:val="%4."/>
      <w:lvlJc w:val="left"/>
      <w:pPr>
        <w:ind w:left="2880" w:hanging="360"/>
      </w:pPr>
    </w:lvl>
    <w:lvl w:ilvl="4" w:tplc="6B287EF6" w:tentative="1">
      <w:start w:val="1"/>
      <w:numFmt w:val="lowerLetter"/>
      <w:lvlText w:val="%5."/>
      <w:lvlJc w:val="left"/>
      <w:pPr>
        <w:ind w:left="3600" w:hanging="360"/>
      </w:pPr>
    </w:lvl>
    <w:lvl w:ilvl="5" w:tplc="377871B4" w:tentative="1">
      <w:start w:val="1"/>
      <w:numFmt w:val="lowerRoman"/>
      <w:lvlText w:val="%6."/>
      <w:lvlJc w:val="right"/>
      <w:pPr>
        <w:ind w:left="4320" w:hanging="180"/>
      </w:pPr>
    </w:lvl>
    <w:lvl w:ilvl="6" w:tplc="938CD650" w:tentative="1">
      <w:start w:val="1"/>
      <w:numFmt w:val="decimal"/>
      <w:lvlText w:val="%7."/>
      <w:lvlJc w:val="left"/>
      <w:pPr>
        <w:ind w:left="5040" w:hanging="360"/>
      </w:pPr>
    </w:lvl>
    <w:lvl w:ilvl="7" w:tplc="5FF80F6E" w:tentative="1">
      <w:start w:val="1"/>
      <w:numFmt w:val="lowerLetter"/>
      <w:lvlText w:val="%8."/>
      <w:lvlJc w:val="left"/>
      <w:pPr>
        <w:ind w:left="5760" w:hanging="360"/>
      </w:pPr>
    </w:lvl>
    <w:lvl w:ilvl="8" w:tplc="5148CFA6" w:tentative="1">
      <w:start w:val="1"/>
      <w:numFmt w:val="lowerRoman"/>
      <w:lvlText w:val="%9."/>
      <w:lvlJc w:val="right"/>
      <w:pPr>
        <w:ind w:left="6480" w:hanging="180"/>
      </w:pPr>
    </w:lvl>
  </w:abstractNum>
  <w:abstractNum w:abstractNumId="1" w15:restartNumberingAfterBreak="0">
    <w:nsid w:val="4CF10ECA"/>
    <w:multiLevelType w:val="hybridMultilevel"/>
    <w:tmpl w:val="0814497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ryan Szajko">
    <w15:presenceInfo w15:providerId="Windows Live" w15:userId="eece917a47bdf4c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171"/>
    <w:rsid w:val="00082428"/>
    <w:rsid w:val="000845F0"/>
    <w:rsid w:val="000910C6"/>
    <w:rsid w:val="000A79A3"/>
    <w:rsid w:val="000E6435"/>
    <w:rsid w:val="00104839"/>
    <w:rsid w:val="00112264"/>
    <w:rsid w:val="00152913"/>
    <w:rsid w:val="00173A7F"/>
    <w:rsid w:val="00191DBA"/>
    <w:rsid w:val="0019275E"/>
    <w:rsid w:val="001A5025"/>
    <w:rsid w:val="001B22CA"/>
    <w:rsid w:val="001C2313"/>
    <w:rsid w:val="001C62E7"/>
    <w:rsid w:val="002201AA"/>
    <w:rsid w:val="00221343"/>
    <w:rsid w:val="00221935"/>
    <w:rsid w:val="002310A5"/>
    <w:rsid w:val="002918ED"/>
    <w:rsid w:val="002B1EC4"/>
    <w:rsid w:val="0033189A"/>
    <w:rsid w:val="00336EDE"/>
    <w:rsid w:val="003579AA"/>
    <w:rsid w:val="00370ADE"/>
    <w:rsid w:val="003A7C84"/>
    <w:rsid w:val="003B5808"/>
    <w:rsid w:val="004358E0"/>
    <w:rsid w:val="00443125"/>
    <w:rsid w:val="0046240C"/>
    <w:rsid w:val="004806B9"/>
    <w:rsid w:val="00485602"/>
    <w:rsid w:val="004863D0"/>
    <w:rsid w:val="004E067A"/>
    <w:rsid w:val="004E4171"/>
    <w:rsid w:val="004E65DF"/>
    <w:rsid w:val="004F02A6"/>
    <w:rsid w:val="004F6C5B"/>
    <w:rsid w:val="005142D4"/>
    <w:rsid w:val="00545B1C"/>
    <w:rsid w:val="00584ECB"/>
    <w:rsid w:val="005B7D01"/>
    <w:rsid w:val="005C47C2"/>
    <w:rsid w:val="00632D9C"/>
    <w:rsid w:val="00652B5F"/>
    <w:rsid w:val="00656863"/>
    <w:rsid w:val="00667118"/>
    <w:rsid w:val="00676C66"/>
    <w:rsid w:val="006877BB"/>
    <w:rsid w:val="00690F30"/>
    <w:rsid w:val="006B0484"/>
    <w:rsid w:val="006B654A"/>
    <w:rsid w:val="006C72F4"/>
    <w:rsid w:val="006E3D0E"/>
    <w:rsid w:val="006E5EC5"/>
    <w:rsid w:val="006F0299"/>
    <w:rsid w:val="0070510B"/>
    <w:rsid w:val="00707C84"/>
    <w:rsid w:val="007621DB"/>
    <w:rsid w:val="00762DBB"/>
    <w:rsid w:val="00763AFB"/>
    <w:rsid w:val="0076438F"/>
    <w:rsid w:val="00796D61"/>
    <w:rsid w:val="007B30E9"/>
    <w:rsid w:val="007E4B26"/>
    <w:rsid w:val="007F5C3B"/>
    <w:rsid w:val="007F6455"/>
    <w:rsid w:val="0081160D"/>
    <w:rsid w:val="00814ACD"/>
    <w:rsid w:val="00857CD4"/>
    <w:rsid w:val="00865FE8"/>
    <w:rsid w:val="00880275"/>
    <w:rsid w:val="008E2B5D"/>
    <w:rsid w:val="00916ABD"/>
    <w:rsid w:val="0092139D"/>
    <w:rsid w:val="00931C07"/>
    <w:rsid w:val="00962C23"/>
    <w:rsid w:val="009D4B0C"/>
    <w:rsid w:val="00A0087F"/>
    <w:rsid w:val="00A03185"/>
    <w:rsid w:val="00A06899"/>
    <w:rsid w:val="00AD7680"/>
    <w:rsid w:val="00AF55C9"/>
    <w:rsid w:val="00B30CFD"/>
    <w:rsid w:val="00B72EB2"/>
    <w:rsid w:val="00B73158"/>
    <w:rsid w:val="00BA244C"/>
    <w:rsid w:val="00BA4068"/>
    <w:rsid w:val="00BB366B"/>
    <w:rsid w:val="00BB452B"/>
    <w:rsid w:val="00BD55E1"/>
    <w:rsid w:val="00BD785C"/>
    <w:rsid w:val="00BE1306"/>
    <w:rsid w:val="00BE5894"/>
    <w:rsid w:val="00BF2BB6"/>
    <w:rsid w:val="00C43017"/>
    <w:rsid w:val="00C739F9"/>
    <w:rsid w:val="00C93A50"/>
    <w:rsid w:val="00C949E0"/>
    <w:rsid w:val="00CA6EBB"/>
    <w:rsid w:val="00CF74B5"/>
    <w:rsid w:val="00D12379"/>
    <w:rsid w:val="00D149D5"/>
    <w:rsid w:val="00D36B4F"/>
    <w:rsid w:val="00D56D98"/>
    <w:rsid w:val="00D64EB1"/>
    <w:rsid w:val="00D6584F"/>
    <w:rsid w:val="00D73236"/>
    <w:rsid w:val="00DB29CD"/>
    <w:rsid w:val="00DC0FC4"/>
    <w:rsid w:val="00DC65B4"/>
    <w:rsid w:val="00E12ABF"/>
    <w:rsid w:val="00E23B2E"/>
    <w:rsid w:val="00E341E4"/>
    <w:rsid w:val="00E77D79"/>
    <w:rsid w:val="00EC0252"/>
    <w:rsid w:val="00EE1561"/>
    <w:rsid w:val="00EE2897"/>
    <w:rsid w:val="00F113D9"/>
    <w:rsid w:val="00F16D8C"/>
    <w:rsid w:val="00F21CA3"/>
    <w:rsid w:val="00F35BE7"/>
    <w:rsid w:val="00F57130"/>
    <w:rsid w:val="00F7250C"/>
    <w:rsid w:val="00F7396C"/>
    <w:rsid w:val="00F8204C"/>
    <w:rsid w:val="00FF075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0511863"/>
  <w15:docId w15:val="{A1FA1201-A8AA-4417-8B9D-923653A83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323E4F" w:themeColor="text2" w:themeShade="BF"/>
      <w:spacing w:val="5"/>
      <w:sz w:val="52"/>
      <w:szCs w:val="52"/>
    </w:rPr>
  </w:style>
  <w:style w:type="paragraph" w:styleId="Subtitle">
    <w:name w:val="Subtitle"/>
    <w:basedOn w:val="Normal"/>
    <w:next w:val="Normal"/>
    <w:link w:val="SubtitleChar"/>
    <w:uiPriority w:val="11"/>
    <w:qFormat/>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472C4" w:themeColor="accent1"/>
      <w:spacing w:val="15"/>
      <w:sz w:val="24"/>
      <w:szCs w:val="24"/>
    </w:rPr>
  </w:style>
  <w:style w:type="character" w:styleId="SubtleEmphasis">
    <w:name w:val="Subtle Emphasis"/>
    <w:basedOn w:val="DefaultParagraphFont"/>
    <w:uiPriority w:val="19"/>
    <w:qFormat/>
    <w:rPr>
      <w:i/>
      <w:iCs/>
      <w:color w:val="808080" w:themeColor="text1" w:themeTint="7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b/>
      <w:bCs/>
      <w:i/>
      <w:iCs/>
      <w:color w:val="4472C4"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Pr>
      <w:b/>
      <w:bCs/>
      <w:i/>
      <w:iCs/>
      <w:color w:val="4472C4" w:themeColor="accent1"/>
    </w:rPr>
  </w:style>
  <w:style w:type="character" w:styleId="SubtleReference">
    <w:name w:val="Subtle Reference"/>
    <w:basedOn w:val="DefaultParagraphFont"/>
    <w:uiPriority w:val="31"/>
    <w:qFormat/>
    <w:rPr>
      <w:smallCaps/>
      <w:color w:val="ED7D31" w:themeColor="accent2"/>
      <w:u w:val="single"/>
    </w:rPr>
  </w:style>
  <w:style w:type="character" w:styleId="IntenseReference">
    <w:name w:val="Intense Reference"/>
    <w:basedOn w:val="DefaultParagraphFont"/>
    <w:uiPriority w:val="32"/>
    <w:qFormat/>
    <w:rPr>
      <w:b/>
      <w:bCs/>
      <w:smallCaps/>
      <w:color w:val="ED7D31" w:themeColor="accent2"/>
      <w:spacing w:val="5"/>
      <w:u w:val="single"/>
    </w:rPr>
  </w:style>
  <w:style w:type="character" w:styleId="BookTitle">
    <w:name w:val="Book Title"/>
    <w:basedOn w:val="DefaultParagraphFont"/>
    <w:uiPriority w:val="33"/>
    <w:qFormat/>
    <w:rPr>
      <w:b/>
      <w:bCs/>
      <w:smallCaps/>
      <w:spacing w:val="5"/>
    </w:rPr>
  </w:style>
  <w:style w:type="paragraph" w:styleId="ListParagraph">
    <w:name w:val="List Paragraph"/>
    <w:basedOn w:val="Normal"/>
    <w:uiPriority w:val="34"/>
    <w:qFormat/>
    <w:pPr>
      <w:ind w:left="720"/>
      <w:contextualSpacing/>
    </w:p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563C1" w:themeColor="hyperlink"/>
      <w:u w:val="single"/>
    </w:rPr>
  </w:style>
  <w:style w:type="paragraph" w:styleId="PlainText">
    <w:name w:val="Plain Text"/>
    <w:basedOn w:val="Normal"/>
    <w:link w:val="PlainTextChar"/>
    <w:uiPriority w:val="99"/>
    <w:semiHidden/>
    <w:unhideWhenUsed/>
    <w:pPr>
      <w:spacing w:after="0" w:line="240" w:lineRule="auto"/>
    </w:pPr>
    <w:rPr>
      <w:rFonts w:ascii="Courier New" w:hAnsi="Courier New" w:cs="Courier New"/>
      <w:sz w:val="21"/>
      <w:szCs w:val="21"/>
    </w:rPr>
  </w:style>
  <w:style w:type="character" w:customStyle="1" w:styleId="PlainTextChar">
    <w:name w:val="Plain Text Char"/>
    <w:basedOn w:val="DefaultParagraphFont"/>
    <w:link w:val="PlainText"/>
    <w:uiPriority w:val="99"/>
    <w:rPr>
      <w:rFonts w:ascii="Courier New" w:hAnsi="Courier New" w:cs="Courier New"/>
      <w:sz w:val="21"/>
      <w:szCs w:val="21"/>
    </w:rPr>
  </w:style>
  <w:style w:type="paragraph" w:styleId="Caption">
    <w:name w:val="caption"/>
    <w:basedOn w:val="Normal"/>
    <w:next w:val="Normal"/>
    <w:uiPriority w:val="35"/>
    <w:unhideWhenUsed/>
    <w:qFormat/>
    <w:pPr>
      <w:spacing w:after="200" w:line="240" w:lineRule="auto"/>
    </w:pPr>
    <w:rPr>
      <w:i/>
      <w:iCs/>
      <w:color w:val="44546A" w:themeColor="text2"/>
      <w:sz w:val="18"/>
      <w:szCs w:val="18"/>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Revision">
    <w:name w:val="Revision"/>
    <w:hidden/>
    <w:uiPriority w:val="99"/>
    <w:semiHidden/>
    <w:pPr>
      <w:spacing w:after="0" w:line="240" w:lineRule="auto"/>
    </w:p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customStyle="1" w:styleId="pf0">
    <w:name w:val="pf0"/>
    <w:basedOn w:val="Normal"/>
    <w:rsid w:val="005B7D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5B7D0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817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png"/><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oter" Target="footer1.xml"/><Relationship Id="rId10" Type="http://schemas.microsoft.com/office/2016/09/relationships/commentsIds" Target="commentsIds.xml"/><Relationship Id="rId19" Type="http://schemas.openxmlformats.org/officeDocument/2006/relationships/image" Target="media/image8.pn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3.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明朝"/>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3F9A53-E1D1-44EB-935C-438F8818C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1729</Words>
  <Characters>9528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Steve Houser</dc:creator>
  <cp:lastModifiedBy>Bryan Szajko</cp:lastModifiedBy>
  <cp:revision>2</cp:revision>
  <cp:lastPrinted>2023-04-20T19:57:00Z</cp:lastPrinted>
  <dcterms:created xsi:type="dcterms:W3CDTF">2026-03-24T19:47:00Z</dcterms:created>
  <dcterms:modified xsi:type="dcterms:W3CDTF">2026-03-24T19:47:00Z</dcterms:modified>
</cp:coreProperties>
</file>